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B75C9" w:rsidRPr="00A1289F">
        <w:rPr>
          <w:b/>
          <w:sz w:val="26"/>
          <w:szCs w:val="26"/>
        </w:rPr>
        <w:t>70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3B75C9" w:rsidRPr="00A1289F">
        <w:rPr>
          <w:b/>
          <w:sz w:val="26"/>
          <w:szCs w:val="26"/>
        </w:rPr>
        <w:t xml:space="preserve">04 сентября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>Ананьев И.В., Бутовский В.В.,</w:t>
      </w:r>
      <w:r w:rsidR="00CB59E6" w:rsidRPr="00A1289F">
        <w:rPr>
          <w:sz w:val="26"/>
          <w:szCs w:val="26"/>
          <w:lang w:val="ru-RU" w:eastAsia="ru-RU"/>
        </w:rPr>
        <w:t xml:space="preserve"> Голенко В.С., Горелов М.Г., </w:t>
      </w:r>
      <w:r w:rsidRPr="00A1289F">
        <w:rPr>
          <w:sz w:val="26"/>
          <w:szCs w:val="26"/>
          <w:lang w:val="ru-RU" w:eastAsia="ru-RU"/>
        </w:rPr>
        <w:t xml:space="preserve">Жуков С.П., Кобозева Н.В., Константинова И.Г., Кромин А.Ю., Кузнецов А.П., </w:t>
      </w:r>
      <w:r w:rsidR="00CB59E6" w:rsidRPr="00A1289F">
        <w:rPr>
          <w:sz w:val="26"/>
          <w:szCs w:val="26"/>
          <w:lang w:val="ru-RU" w:eastAsia="ru-RU"/>
        </w:rPr>
        <w:t xml:space="preserve">Малофеева Н.А., </w:t>
      </w:r>
      <w:r w:rsidRPr="00A1289F">
        <w:rPr>
          <w:sz w:val="26"/>
          <w:szCs w:val="26"/>
          <w:lang w:val="ru-RU" w:eastAsia="ru-RU"/>
        </w:rPr>
        <w:t xml:space="preserve">Мухарева Е.В., Носова О.А., Рукин В.В., Рыбенко Г.А., Селезнев А.В., Старовойтова Е.В., 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Pr="00A1289F">
        <w:rPr>
          <w:sz w:val="26"/>
          <w:szCs w:val="26"/>
          <w:lang w:val="ru-RU" w:eastAsia="ru-RU"/>
        </w:rPr>
        <w:t>Чая В.Т., Чепик Н.А., 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CB59E6" w:rsidRPr="00A1289F">
        <w:rPr>
          <w:bCs/>
          <w:sz w:val="26"/>
          <w:szCs w:val="26"/>
        </w:rPr>
        <w:t>3</w:t>
      </w:r>
      <w:r w:rsidRPr="00A1289F">
        <w:rPr>
          <w:bCs/>
          <w:sz w:val="26"/>
          <w:szCs w:val="26"/>
        </w:rPr>
        <w:t xml:space="preserve"> </w:t>
      </w:r>
      <w:r w:rsidR="00CB59E6" w:rsidRPr="00A1289F">
        <w:rPr>
          <w:bCs/>
          <w:sz w:val="26"/>
          <w:szCs w:val="26"/>
        </w:rPr>
        <w:t>из 38 человек, что составляет 61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CB59E6" w:rsidRPr="00A1289F">
        <w:rPr>
          <w:sz w:val="26"/>
          <w:szCs w:val="26"/>
        </w:rPr>
        <w:t>0</w:t>
      </w:r>
      <w:r w:rsidRPr="00A1289F">
        <w:rPr>
          <w:sz w:val="26"/>
          <w:szCs w:val="26"/>
        </w:rPr>
        <w:t>4 сентября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О </w:t>
      </w:r>
      <w:r w:rsidR="00CB59E6" w:rsidRPr="00A1289F">
        <w:rPr>
          <w:sz w:val="26"/>
          <w:szCs w:val="26"/>
        </w:rPr>
        <w:t xml:space="preserve">приостановлении </w:t>
      </w:r>
      <w:r w:rsidRPr="00A1289F">
        <w:rPr>
          <w:sz w:val="26"/>
          <w:szCs w:val="26"/>
        </w:rPr>
        <w:t>членства в СРО ААС.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прекращении членства в СРО ААС.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внесении изменений в нормативные документы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022252" w:rsidRPr="00A1289F" w:rsidRDefault="00022252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89F">
        <w:rPr>
          <w:b/>
          <w:i/>
          <w:sz w:val="26"/>
          <w:szCs w:val="26"/>
          <w:u w:val="single"/>
        </w:rPr>
        <w:t>По первому вопросу</w:t>
      </w:r>
    </w:p>
    <w:p w:rsidR="00624963" w:rsidRPr="00A1289F" w:rsidRDefault="00624963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О </w:t>
      </w:r>
      <w:r w:rsidR="003B75C9" w:rsidRPr="00A1289F">
        <w:rPr>
          <w:b/>
          <w:sz w:val="26"/>
          <w:szCs w:val="26"/>
        </w:rPr>
        <w:t xml:space="preserve">приеме в члены СРО ААС </w:t>
      </w:r>
    </w:p>
    <w:p w:rsidR="00624963" w:rsidRPr="00A1289F" w:rsidRDefault="00624963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4EB6" w:rsidRPr="00A1289F" w:rsidRDefault="00814EB6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Решили:</w:t>
      </w:r>
    </w:p>
    <w:p w:rsidR="003B75C9" w:rsidRPr="00C4440F" w:rsidRDefault="008713E5" w:rsidP="00A1289F">
      <w:pPr>
        <w:jc w:val="both"/>
        <w:rPr>
          <w:sz w:val="26"/>
          <w:szCs w:val="26"/>
        </w:rPr>
      </w:pPr>
      <w:r w:rsidRPr="00C4440F">
        <w:rPr>
          <w:sz w:val="26"/>
          <w:szCs w:val="26"/>
        </w:rPr>
        <w:t xml:space="preserve">1.1. </w:t>
      </w:r>
      <w:r w:rsidR="003B75C9" w:rsidRPr="00C4440F">
        <w:rPr>
          <w:sz w:val="26"/>
          <w:szCs w:val="26"/>
        </w:rPr>
        <w:t>Принять в члены СР</w:t>
      </w:r>
      <w:r w:rsidR="00C4440F" w:rsidRPr="00C4440F">
        <w:rPr>
          <w:sz w:val="26"/>
          <w:szCs w:val="26"/>
        </w:rPr>
        <w:t>О ААС 2 аудиторские организации.</w:t>
      </w:r>
    </w:p>
    <w:p w:rsidR="00624963" w:rsidRPr="00A1289F" w:rsidRDefault="00624963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B3101B" w:rsidRPr="00A1289F" w:rsidRDefault="00B3101B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3101B" w:rsidRPr="00A1289F" w:rsidRDefault="00B3101B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89F">
        <w:rPr>
          <w:b/>
          <w:i/>
          <w:sz w:val="26"/>
          <w:szCs w:val="26"/>
          <w:u w:val="single"/>
        </w:rPr>
        <w:t>По второму вопросу</w:t>
      </w:r>
    </w:p>
    <w:p w:rsidR="006D3759" w:rsidRPr="00A1289F" w:rsidRDefault="006D3759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О </w:t>
      </w:r>
      <w:r w:rsidR="003B75C9" w:rsidRPr="00A1289F">
        <w:rPr>
          <w:b/>
          <w:sz w:val="26"/>
          <w:szCs w:val="26"/>
        </w:rPr>
        <w:t xml:space="preserve">приостановлении </w:t>
      </w:r>
      <w:r w:rsidRPr="00A1289F">
        <w:rPr>
          <w:b/>
          <w:sz w:val="26"/>
          <w:szCs w:val="26"/>
        </w:rPr>
        <w:t>членства в СРО ААС</w:t>
      </w:r>
    </w:p>
    <w:p w:rsidR="006D3759" w:rsidRPr="00A1289F" w:rsidRDefault="006D3759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D3759" w:rsidRPr="00A1289F" w:rsidRDefault="006D3759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Решили:</w:t>
      </w:r>
    </w:p>
    <w:p w:rsidR="003B75C9" w:rsidRPr="00C4440F" w:rsidRDefault="00B3101B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440F">
        <w:rPr>
          <w:sz w:val="26"/>
          <w:szCs w:val="26"/>
        </w:rPr>
        <w:lastRenderedPageBreak/>
        <w:t xml:space="preserve">2.1. </w:t>
      </w:r>
      <w:r w:rsidR="003B75C9" w:rsidRPr="00C4440F">
        <w:rPr>
          <w:sz w:val="26"/>
          <w:szCs w:val="26"/>
        </w:rPr>
        <w:t>Приостановить членство в СРО ААС 1 аудиторской организации на 30 календарных дней по Предписанию Управления Федерального казнач</w:t>
      </w:r>
      <w:r w:rsidR="00C4440F">
        <w:rPr>
          <w:sz w:val="26"/>
          <w:szCs w:val="26"/>
        </w:rPr>
        <w:t xml:space="preserve">ейства по Нижегородской области </w:t>
      </w:r>
      <w:r w:rsidR="003B75C9" w:rsidRPr="00C4440F">
        <w:rPr>
          <w:sz w:val="26"/>
          <w:szCs w:val="26"/>
        </w:rPr>
        <w:t>от 31.08.2018 год</w:t>
      </w:r>
      <w:r w:rsidR="00C4440F" w:rsidRPr="00C4440F">
        <w:rPr>
          <w:sz w:val="26"/>
          <w:szCs w:val="26"/>
        </w:rPr>
        <w:t>а.</w:t>
      </w:r>
    </w:p>
    <w:p w:rsidR="00B3101B" w:rsidRPr="00A1289F" w:rsidRDefault="00B3101B" w:rsidP="00A1289F">
      <w:pPr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B3101B" w:rsidRPr="00A1289F" w:rsidRDefault="00B3101B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3101B" w:rsidRPr="00A1289F" w:rsidRDefault="00B3101B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89F">
        <w:rPr>
          <w:b/>
          <w:i/>
          <w:sz w:val="26"/>
          <w:szCs w:val="26"/>
          <w:u w:val="single"/>
        </w:rPr>
        <w:t>По третьему вопросу</w:t>
      </w:r>
    </w:p>
    <w:p w:rsidR="009001C4" w:rsidRPr="00A1289F" w:rsidRDefault="009001C4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О</w:t>
      </w:r>
      <w:r w:rsidRPr="00A1289F">
        <w:rPr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прекращении членства в СРО ААС</w:t>
      </w:r>
    </w:p>
    <w:p w:rsidR="006747EF" w:rsidRPr="00A1289F" w:rsidRDefault="006747EF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747EF" w:rsidRPr="00A1289F" w:rsidRDefault="006747EF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Решили:</w:t>
      </w:r>
    </w:p>
    <w:p w:rsidR="003B75C9" w:rsidRPr="00C4440F" w:rsidRDefault="00B3101B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440F">
        <w:rPr>
          <w:sz w:val="26"/>
          <w:szCs w:val="26"/>
        </w:rPr>
        <w:t xml:space="preserve">3.1. </w:t>
      </w:r>
      <w:r w:rsidR="003B75C9" w:rsidRPr="00C4440F">
        <w:rPr>
          <w:sz w:val="26"/>
          <w:szCs w:val="26"/>
        </w:rPr>
        <w:t>Прекратить членство в СРО ААС по Предписанию Управления Федерального казнач</w:t>
      </w:r>
      <w:r w:rsidR="0074033D">
        <w:rPr>
          <w:sz w:val="26"/>
          <w:szCs w:val="26"/>
        </w:rPr>
        <w:t xml:space="preserve">ейства по Нижегородской области </w:t>
      </w:r>
      <w:r w:rsidR="003B75C9" w:rsidRPr="00C4440F">
        <w:rPr>
          <w:sz w:val="26"/>
          <w:szCs w:val="26"/>
        </w:rPr>
        <w:t>от 31.08.2018</w:t>
      </w:r>
      <w:r w:rsidR="00C4440F" w:rsidRPr="00C4440F">
        <w:rPr>
          <w:sz w:val="26"/>
          <w:szCs w:val="26"/>
        </w:rPr>
        <w:t xml:space="preserve"> года 1 аудиторской организации;</w:t>
      </w:r>
    </w:p>
    <w:p w:rsidR="003B75C9" w:rsidRPr="00C4440F" w:rsidRDefault="003B75C9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440F">
        <w:rPr>
          <w:sz w:val="26"/>
          <w:szCs w:val="26"/>
        </w:rPr>
        <w:t>3.2. Прекратить членство в СРО АА</w:t>
      </w:r>
      <w:r w:rsidR="00C4440F" w:rsidRPr="00C4440F">
        <w:rPr>
          <w:sz w:val="26"/>
          <w:szCs w:val="26"/>
        </w:rPr>
        <w:t>С в связи со смертью 1 аудитора;</w:t>
      </w:r>
    </w:p>
    <w:p w:rsidR="003B75C9" w:rsidRPr="00C4440F" w:rsidRDefault="003B75C9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440F">
        <w:rPr>
          <w:sz w:val="26"/>
          <w:szCs w:val="26"/>
        </w:rPr>
        <w:t>3.3. Прекратить членство в СРО ААС в связи с реорганизацией в форме преобразо</w:t>
      </w:r>
      <w:r w:rsidR="00C4440F" w:rsidRPr="00C4440F">
        <w:rPr>
          <w:sz w:val="26"/>
          <w:szCs w:val="26"/>
        </w:rPr>
        <w:t>вания 1 аудиторской организации.</w:t>
      </w:r>
    </w:p>
    <w:p w:rsidR="00B3101B" w:rsidRPr="00A1289F" w:rsidRDefault="00B3101B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B3101B" w:rsidRPr="00A1289F" w:rsidRDefault="00B3101B" w:rsidP="00A1289F">
      <w:pPr>
        <w:pStyle w:val="a3"/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3B75C9" w:rsidRPr="00A1289F" w:rsidRDefault="003B75C9" w:rsidP="00A1289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89F">
        <w:rPr>
          <w:b/>
          <w:i/>
          <w:sz w:val="26"/>
          <w:szCs w:val="26"/>
          <w:u w:val="single"/>
        </w:rPr>
        <w:t>По четвертому вопросу</w:t>
      </w:r>
    </w:p>
    <w:p w:rsidR="003B75C9" w:rsidRPr="00A1289F" w:rsidRDefault="003B75C9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3B75C9" w:rsidRPr="00A1289F" w:rsidRDefault="003B75C9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3B75C9" w:rsidRPr="00A1289F" w:rsidRDefault="003B75C9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Решили:</w:t>
      </w:r>
    </w:p>
    <w:p w:rsidR="0074033D" w:rsidRPr="0074033D" w:rsidRDefault="0074033D" w:rsidP="00A1289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4033D">
        <w:rPr>
          <w:sz w:val="26"/>
          <w:szCs w:val="26"/>
        </w:rPr>
        <w:t>4.1.  Утвердить редакцию № 7 Правил независимости аудиторов и аудиторских организаций и ввести их в действие с 1 января 2019 года согласно приложению № 1.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bookmarkStart w:id="0" w:name="_GoBack"/>
      <w:bookmarkEnd w:id="0"/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0F" w:rsidRDefault="00C4440F" w:rsidP="007746A4">
      <w:r>
        <w:separator/>
      </w:r>
    </w:p>
  </w:endnote>
  <w:endnote w:type="continuationSeparator" w:id="0">
    <w:p w:rsidR="00C4440F" w:rsidRDefault="00C4440F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0F" w:rsidRDefault="00C4440F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>
      <w:rPr>
        <w:i/>
        <w:sz w:val="22"/>
        <w:szCs w:val="22"/>
      </w:rPr>
      <w:t>370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>
      <w:rPr>
        <w:i/>
        <w:sz w:val="22"/>
        <w:szCs w:val="22"/>
      </w:rPr>
      <w:t xml:space="preserve"> 04 сентября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74033D">
      <w:rPr>
        <w:i/>
        <w:noProof/>
        <w:sz w:val="22"/>
        <w:szCs w:val="22"/>
      </w:rPr>
      <w:t>2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74033D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0F" w:rsidRDefault="00C4440F" w:rsidP="007746A4">
      <w:r>
        <w:separator/>
      </w:r>
    </w:p>
  </w:footnote>
  <w:footnote w:type="continuationSeparator" w:id="0">
    <w:p w:rsidR="00C4440F" w:rsidRDefault="00C4440F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112E7"/>
    <w:rsid w:val="00616D6C"/>
    <w:rsid w:val="00620B72"/>
    <w:rsid w:val="00624963"/>
    <w:rsid w:val="00643F44"/>
    <w:rsid w:val="00651122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4033D"/>
    <w:rsid w:val="00751F99"/>
    <w:rsid w:val="007560EF"/>
    <w:rsid w:val="00766302"/>
    <w:rsid w:val="007746A4"/>
    <w:rsid w:val="007753D2"/>
    <w:rsid w:val="007760CF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440F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54904"/>
    <w:rsid w:val="00D63867"/>
    <w:rsid w:val="00DB0C35"/>
    <w:rsid w:val="00DB0F36"/>
    <w:rsid w:val="00DB12CD"/>
    <w:rsid w:val="00DB5729"/>
    <w:rsid w:val="00DC13EE"/>
    <w:rsid w:val="00DC54D5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F220-C7E2-4CB2-A6CB-D73A95B9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9F5158D3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2018-09-06T08:27:00Z</dcterms:created>
  <dcterms:modified xsi:type="dcterms:W3CDTF">2018-09-06T08:27:00Z</dcterms:modified>
</cp:coreProperties>
</file>