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4E" w:rsidRDefault="00DB5D4E">
      <w:pPr>
        <w:pStyle w:val="ConsPlusTitlePage"/>
      </w:pPr>
      <w:r>
        <w:t xml:space="preserve">Документ предоставлен </w:t>
      </w:r>
      <w:hyperlink r:id="rId4" w:history="1">
        <w:r>
          <w:rPr>
            <w:color w:val="0000FF"/>
          </w:rPr>
          <w:t>КонсультантПлюс</w:t>
        </w:r>
      </w:hyperlink>
      <w:r>
        <w:br/>
      </w:r>
    </w:p>
    <w:p w:rsidR="00DB5D4E" w:rsidRDefault="00DB5D4E">
      <w:pPr>
        <w:pStyle w:val="ConsPlusNormal"/>
        <w:jc w:val="both"/>
        <w:outlineLvl w:val="0"/>
      </w:pPr>
    </w:p>
    <w:p w:rsidR="00DB5D4E" w:rsidRDefault="00DB5D4E">
      <w:pPr>
        <w:pStyle w:val="ConsPlusTitle"/>
        <w:jc w:val="center"/>
      </w:pPr>
      <w:r>
        <w:t>МИНИСТЕРСТВО ФИНАНСОВ РОССИЙСКОЙ ФЕДЕРАЦИИ</w:t>
      </w:r>
    </w:p>
    <w:p w:rsidR="00DB5D4E" w:rsidRDefault="00DB5D4E">
      <w:pPr>
        <w:pStyle w:val="ConsPlusTitle"/>
        <w:jc w:val="center"/>
      </w:pPr>
    </w:p>
    <w:p w:rsidR="00DB5D4E" w:rsidRDefault="00DB5D4E">
      <w:pPr>
        <w:pStyle w:val="ConsPlusTitle"/>
        <w:jc w:val="center"/>
      </w:pPr>
      <w:r>
        <w:t>ИНФОРМАЦИОННОЕ СООБЩЕНИЕ</w:t>
      </w:r>
    </w:p>
    <w:p w:rsidR="00DB5D4E" w:rsidRDefault="00DB5D4E">
      <w:pPr>
        <w:pStyle w:val="ConsPlusTitle"/>
        <w:jc w:val="center"/>
      </w:pPr>
      <w:r>
        <w:t>от 13 января 2022 г. N ИС-учет-36</w:t>
      </w:r>
    </w:p>
    <w:p w:rsidR="00DB5D4E" w:rsidRDefault="00DB5D4E">
      <w:pPr>
        <w:pStyle w:val="ConsPlusTitle"/>
        <w:jc w:val="center"/>
      </w:pPr>
    </w:p>
    <w:p w:rsidR="00DB5D4E" w:rsidRDefault="00DB5D4E">
      <w:pPr>
        <w:pStyle w:val="ConsPlusTitle"/>
        <w:jc w:val="center"/>
      </w:pPr>
      <w:r>
        <w:t>НОВОЕ В БУХГАЛТЕРСКОМ ЗАКОНОДАТЕЛЬСТВЕ: ФАКТЫ И КОММЕНТАРИИ</w:t>
      </w:r>
    </w:p>
    <w:p w:rsidR="00DB5D4E" w:rsidRDefault="00DB5D4E">
      <w:pPr>
        <w:pStyle w:val="ConsPlusNormal"/>
        <w:jc w:val="center"/>
      </w:pPr>
    </w:p>
    <w:p w:rsidR="00DB5D4E" w:rsidRDefault="00DB5D4E">
      <w:pPr>
        <w:pStyle w:val="ConsPlusTitle"/>
        <w:jc w:val="center"/>
        <w:outlineLvl w:val="0"/>
      </w:pPr>
      <w:r>
        <w:t>Уточнен порядок формирования ГИРБО и предоставления</w:t>
      </w:r>
    </w:p>
    <w:p w:rsidR="00DB5D4E" w:rsidRDefault="00DB5D4E">
      <w:pPr>
        <w:pStyle w:val="ConsPlusTitle"/>
        <w:jc w:val="center"/>
      </w:pPr>
      <w:r>
        <w:t>доступа к нему</w:t>
      </w:r>
    </w:p>
    <w:p w:rsidR="00DB5D4E" w:rsidRDefault="00DB5D4E">
      <w:pPr>
        <w:pStyle w:val="ConsPlusNormal"/>
        <w:ind w:firstLine="540"/>
        <w:jc w:val="both"/>
      </w:pPr>
    </w:p>
    <w:p w:rsidR="00DB5D4E" w:rsidRDefault="00DB5D4E">
      <w:pPr>
        <w:pStyle w:val="ConsPlusNormal"/>
        <w:ind w:firstLine="540"/>
        <w:jc w:val="both"/>
      </w:pPr>
      <w:r>
        <w:t xml:space="preserve">В соответствии со </w:t>
      </w:r>
      <w:hyperlink r:id="rId5" w:history="1">
        <w:r>
          <w:rPr>
            <w:color w:val="0000FF"/>
          </w:rPr>
          <w:t>статьей 18</w:t>
        </w:r>
      </w:hyperlink>
      <w:r>
        <w:t xml:space="preserve"> Федерального закона "О бухгалтерском учете" ФНС России формирует и ведет государственный информационный ресурс бухгалтерской (финансовой) отчетности (ГИРБО) &lt;1&gt;. Этот ресурс представляет собой совокупность бухгалтерской отчетности экономических субъектов, обязанных составлять такую отчетность, а также аудиторских заключений о ней (в случаях, если отчетность подлежит обязательному аудиту). Заинтересованным лицам обеспечивается доступ к информации, содержащейся в ГИРБО.</w:t>
      </w:r>
    </w:p>
    <w:p w:rsidR="00DB5D4E" w:rsidRDefault="00DB5D4E">
      <w:pPr>
        <w:pStyle w:val="ConsPlusNormal"/>
        <w:spacing w:before="220"/>
        <w:ind w:firstLine="540"/>
        <w:jc w:val="both"/>
      </w:pPr>
      <w:r>
        <w:t>--------------------------------</w:t>
      </w:r>
    </w:p>
    <w:p w:rsidR="00DB5D4E" w:rsidRDefault="00DB5D4E">
      <w:pPr>
        <w:pStyle w:val="ConsPlusNormal"/>
        <w:spacing w:before="220"/>
        <w:ind w:firstLine="540"/>
        <w:jc w:val="both"/>
      </w:pPr>
      <w:r>
        <w:t>&lt;1&gt; См. Информационное сообщение ИС-учет-12. ГИРБО опубликован на официальном Интернет-сайте ФНС России по адресу https://bo.nalog.ru.</w:t>
      </w:r>
    </w:p>
    <w:p w:rsidR="00DB5D4E" w:rsidRDefault="00DB5D4E">
      <w:pPr>
        <w:pStyle w:val="ConsPlusNormal"/>
        <w:ind w:firstLine="540"/>
        <w:jc w:val="both"/>
      </w:pPr>
    </w:p>
    <w:p w:rsidR="00DB5D4E" w:rsidRDefault="00DB5D4E">
      <w:pPr>
        <w:pStyle w:val="ConsPlusNormal"/>
        <w:ind w:firstLine="540"/>
        <w:jc w:val="both"/>
      </w:pPr>
      <w:r>
        <w:t xml:space="preserve">Федеральным </w:t>
      </w:r>
      <w:hyperlink r:id="rId6" w:history="1">
        <w:r>
          <w:rPr>
            <w:color w:val="0000FF"/>
          </w:rPr>
          <w:t>законом</w:t>
        </w:r>
      </w:hyperlink>
      <w:r>
        <w:t xml:space="preserve"> от 30 декабря 2021 г. N 435-ФЗ внесены изменения в названную </w:t>
      </w:r>
      <w:hyperlink r:id="rId7" w:history="1">
        <w:r>
          <w:rPr>
            <w:color w:val="0000FF"/>
          </w:rPr>
          <w:t>статью</w:t>
        </w:r>
      </w:hyperlink>
      <w:r>
        <w:t>, направленные на совершенствование работы ГИРБО. Новации заключаются в следующем:</w:t>
      </w:r>
    </w:p>
    <w:p w:rsidR="00DB5D4E" w:rsidRDefault="00DB5D4E">
      <w:pPr>
        <w:pStyle w:val="ConsPlusNormal"/>
        <w:spacing w:before="220"/>
        <w:ind w:firstLine="540"/>
        <w:jc w:val="both"/>
      </w:pPr>
      <w:r>
        <w:t xml:space="preserve">сокращен перечень организаций, освобожденных от представления обязательного экземпляра бухгалтерской отчетности в налоговые органы в целях формирования ГИРБО, - из него исключены организации в случаях, устанавливаемых Правительством Российской Федерации. Эти случаи установлены </w:t>
      </w:r>
      <w:hyperlink r:id="rId8" w:history="1">
        <w:r>
          <w:rPr>
            <w:color w:val="0000FF"/>
          </w:rPr>
          <w:t>постановлением</w:t>
        </w:r>
      </w:hyperlink>
      <w:r>
        <w:t xml:space="preserve"> Правительства Российской Федерации от 22 января 2020 г. N 35. Таким образом, согласно новой редакции Федерального </w:t>
      </w:r>
      <w:hyperlink r:id="rId9" w:history="1">
        <w:r>
          <w:rPr>
            <w:color w:val="0000FF"/>
          </w:rPr>
          <w:t>закона</w:t>
        </w:r>
      </w:hyperlink>
      <w:r>
        <w:t xml:space="preserve"> "О бухгалтерском учете" организации, указанные в </w:t>
      </w:r>
      <w:hyperlink r:id="rId10" w:history="1">
        <w:r>
          <w:rPr>
            <w:color w:val="0000FF"/>
          </w:rPr>
          <w:t>постановлении</w:t>
        </w:r>
      </w:hyperlink>
      <w:r>
        <w:t>, обязаны представлять свою бухгалтерскую отчетность в налоговый орган в целях формирования ГИРБО;</w:t>
      </w:r>
    </w:p>
    <w:p w:rsidR="00DB5D4E" w:rsidRDefault="00DB5D4E">
      <w:pPr>
        <w:pStyle w:val="ConsPlusNormal"/>
        <w:spacing w:before="220"/>
        <w:ind w:firstLine="540"/>
        <w:jc w:val="both"/>
      </w:pPr>
      <w:r>
        <w:t xml:space="preserve">в связи с тем, что организации, указанные в </w:t>
      </w:r>
      <w:hyperlink r:id="rId11" w:history="1">
        <w:r>
          <w:rPr>
            <w:color w:val="0000FF"/>
          </w:rPr>
          <w:t>постановлении</w:t>
        </w:r>
      </w:hyperlink>
      <w:r>
        <w:t xml:space="preserve"> Правительства Российской Федерации от 22 января 2020 г. N 35, обязаны представлять свою бухгалтерскую отчетность в ГИРБО согласно новой редакции Федерального </w:t>
      </w:r>
      <w:hyperlink r:id="rId12" w:history="1">
        <w:r>
          <w:rPr>
            <w:color w:val="0000FF"/>
          </w:rPr>
          <w:t>закона</w:t>
        </w:r>
      </w:hyperlink>
      <w:r>
        <w:t xml:space="preserve"> "О бухгалтерском учете", они освобождены от представления этой отчетности в органы государственной статистики (в силу изменения, внесенного в </w:t>
      </w:r>
      <w:hyperlink r:id="rId13" w:history="1">
        <w:r>
          <w:rPr>
            <w:color w:val="0000FF"/>
          </w:rPr>
          <w:t>часть 7 статьи 18</w:t>
        </w:r>
      </w:hyperlink>
      <w:r>
        <w:t xml:space="preserve"> Федерального закона "О бухгалтерском учете");</w:t>
      </w:r>
    </w:p>
    <w:p w:rsidR="00DB5D4E" w:rsidRDefault="00DB5D4E">
      <w:pPr>
        <w:pStyle w:val="ConsPlusNormal"/>
        <w:spacing w:before="220"/>
        <w:ind w:firstLine="540"/>
        <w:jc w:val="both"/>
      </w:pPr>
      <w:r>
        <w:t>ФНС России вправе ограничивать доступ к информации, содержащейся в ГИРБО. Информация, доступ к которой ограничен, предоставляется исключительно органам государственной власти, иным государственным органам, органам местного самоуправления, государственным внебюджетным фондам и Банку России. Ограничение будет распространяться на всю информацию, накопленную в ГИРБО, т.е. на информацию начиная с отчетного периода 2019 г.;</w:t>
      </w:r>
    </w:p>
    <w:p w:rsidR="00DB5D4E" w:rsidRDefault="00DB5D4E">
      <w:pPr>
        <w:pStyle w:val="ConsPlusNormal"/>
        <w:spacing w:before="220"/>
        <w:ind w:firstLine="540"/>
        <w:jc w:val="both"/>
      </w:pPr>
      <w:r>
        <w:t>случаи, в которых доступ к содержащейся в ГИРБО информации может быть ограничен, а также порядок ограничения и возобновления такого доступа устанавливаются Правительством Российской Федерации;</w:t>
      </w:r>
    </w:p>
    <w:p w:rsidR="00DB5D4E" w:rsidRDefault="00DB5D4E">
      <w:pPr>
        <w:pStyle w:val="ConsPlusNormal"/>
        <w:spacing w:before="220"/>
        <w:ind w:firstLine="540"/>
        <w:jc w:val="both"/>
      </w:pPr>
      <w:r>
        <w:t>ограничение или возобновление доступа к информации, содержащейся в ГИРБО, по заявлению заинтересованной организации. Такое заявление представляется в ФНС России по форме, в формате и порядке, утверждаемым ею.</w:t>
      </w:r>
    </w:p>
    <w:p w:rsidR="00DB5D4E" w:rsidRDefault="00DB5D4E">
      <w:pPr>
        <w:pStyle w:val="ConsPlusNormal"/>
        <w:spacing w:before="220"/>
        <w:ind w:firstLine="540"/>
        <w:jc w:val="both"/>
      </w:pPr>
      <w:r>
        <w:lastRenderedPageBreak/>
        <w:t xml:space="preserve">Исходя из Федерального </w:t>
      </w:r>
      <w:hyperlink r:id="rId14" w:history="1">
        <w:r>
          <w:rPr>
            <w:color w:val="0000FF"/>
          </w:rPr>
          <w:t>закона</w:t>
        </w:r>
      </w:hyperlink>
      <w:r>
        <w:t xml:space="preserve"> от 30 декабря 2021 г. N 435-ФЗ, организации, которые были освобождены от представления бухгалтерской отчетности в ГИРБО согласно </w:t>
      </w:r>
      <w:hyperlink r:id="rId15" w:history="1">
        <w:r>
          <w:rPr>
            <w:color w:val="0000FF"/>
          </w:rPr>
          <w:t>постановлению</w:t>
        </w:r>
      </w:hyperlink>
      <w:r>
        <w:t xml:space="preserve"> Правительства Российской Федерации от 22 января 2020 г. N 35, начиная с отчетности за 2022 г.:</w:t>
      </w:r>
    </w:p>
    <w:p w:rsidR="00DB5D4E" w:rsidRDefault="00DB5D4E">
      <w:pPr>
        <w:pStyle w:val="ConsPlusNormal"/>
        <w:spacing w:before="220"/>
        <w:ind w:firstLine="540"/>
        <w:jc w:val="both"/>
      </w:pPr>
      <w:r>
        <w:t>обязаны представлять свою бухгалтерскую отчетность в налоговый орган в целях формирования ГИРБО;</w:t>
      </w:r>
    </w:p>
    <w:p w:rsidR="00DB5D4E" w:rsidRDefault="00DB5D4E">
      <w:pPr>
        <w:pStyle w:val="ConsPlusNormal"/>
        <w:spacing w:before="220"/>
        <w:ind w:firstLine="540"/>
        <w:jc w:val="both"/>
      </w:pPr>
      <w:r>
        <w:t>прекращают представлять свою бухгалтерскую отчетность в органы государственной статистики;</w:t>
      </w:r>
    </w:p>
    <w:p w:rsidR="00DB5D4E" w:rsidRDefault="00DB5D4E">
      <w:pPr>
        <w:pStyle w:val="ConsPlusNormal"/>
        <w:spacing w:before="220"/>
        <w:ind w:firstLine="540"/>
        <w:jc w:val="both"/>
      </w:pPr>
      <w:r>
        <w:t>вправе подать заявление об ограничении доступа к их отчетности, включенной в ГИРБО, в ФНС России (в случаях, установленных Правительством Российской Федерации).</w:t>
      </w:r>
    </w:p>
    <w:p w:rsidR="00DB5D4E" w:rsidRDefault="00DB5D4E">
      <w:pPr>
        <w:pStyle w:val="ConsPlusNormal"/>
        <w:spacing w:before="220"/>
        <w:ind w:firstLine="540"/>
        <w:jc w:val="both"/>
      </w:pPr>
      <w:r>
        <w:t>Начиная с 1 января 2023 г. заявление об ограничении доступа к бухгалтерской отчетности, включенной в ГИРБО, вправе подавать также иные организации, но лишь в случаях, установленных Правительством Российской Федерации.</w:t>
      </w:r>
    </w:p>
    <w:p w:rsidR="00DB5D4E" w:rsidRDefault="00DB5D4E">
      <w:pPr>
        <w:pStyle w:val="ConsPlusNormal"/>
        <w:spacing w:before="220"/>
        <w:ind w:firstLine="540"/>
        <w:jc w:val="both"/>
      </w:pPr>
      <w:r>
        <w:t>Порядок наполнения ГИРБО годовой бухгалтерской отчетностью организаций за 2021 г., а также предоставления доступа к информации, содержащейся в ГИРБО, в 2022 г. не изменяется по сравнению с 2021 г.</w:t>
      </w:r>
    </w:p>
    <w:p w:rsidR="00DB5D4E" w:rsidRDefault="00DB5D4E">
      <w:pPr>
        <w:pStyle w:val="ConsPlusNormal"/>
        <w:ind w:firstLine="540"/>
        <w:jc w:val="both"/>
      </w:pPr>
    </w:p>
    <w:p w:rsidR="00DB5D4E" w:rsidRDefault="00DB5D4E">
      <w:pPr>
        <w:pStyle w:val="ConsPlusTitle"/>
        <w:jc w:val="center"/>
        <w:outlineLvl w:val="0"/>
      </w:pPr>
      <w:r>
        <w:t>Установлен единый срок представления исправленной</w:t>
      </w:r>
    </w:p>
    <w:p w:rsidR="00DB5D4E" w:rsidRDefault="00DB5D4E">
      <w:pPr>
        <w:pStyle w:val="ConsPlusTitle"/>
        <w:jc w:val="center"/>
      </w:pPr>
      <w:r>
        <w:t>бухгалтерской отчетности</w:t>
      </w:r>
    </w:p>
    <w:p w:rsidR="00DB5D4E" w:rsidRDefault="00DB5D4E">
      <w:pPr>
        <w:pStyle w:val="ConsPlusNormal"/>
        <w:jc w:val="center"/>
      </w:pPr>
    </w:p>
    <w:p w:rsidR="00DB5D4E" w:rsidRDefault="00DB5D4E">
      <w:pPr>
        <w:pStyle w:val="ConsPlusNormal"/>
        <w:ind w:firstLine="540"/>
        <w:jc w:val="both"/>
      </w:pPr>
      <w:r>
        <w:t xml:space="preserve">В соответствии с </w:t>
      </w:r>
      <w:hyperlink r:id="rId16" w:history="1">
        <w:r>
          <w:rPr>
            <w:color w:val="0000FF"/>
          </w:rPr>
          <w:t>частью 5 статьи 18</w:t>
        </w:r>
      </w:hyperlink>
      <w:r>
        <w:t xml:space="preserve"> Федерального закона "О бухгалтерском учете" в случае исправления экономическим субъектом ошибки в бухгалтерской (финансовой) отчетности, обязательный экземпляр которой представлен в налоговый орган в целях формирования ГИРБО, экземпляр бухгалтерской отчетности, в котором ошибка исправлена, представляется в налоговый орган по месту нахождения экономического субъекта в виде электронного документа.</w:t>
      </w:r>
    </w:p>
    <w:p w:rsidR="00DB5D4E" w:rsidRDefault="00DB5D4E">
      <w:pPr>
        <w:pStyle w:val="ConsPlusNormal"/>
        <w:spacing w:before="220"/>
        <w:ind w:firstLine="540"/>
        <w:jc w:val="both"/>
      </w:pPr>
      <w:r>
        <w:t xml:space="preserve">Согласно изменению, внесенному Федеральным </w:t>
      </w:r>
      <w:hyperlink r:id="rId17" w:history="1">
        <w:r>
          <w:rPr>
            <w:color w:val="0000FF"/>
          </w:rPr>
          <w:t>законом</w:t>
        </w:r>
      </w:hyperlink>
      <w:r>
        <w:t xml:space="preserve"> от 30 декабря 2021 г. N 435-ФЗ, исправленная отчетность подлежит представлению в налоговый орган не позднее 31 июля года, следующего за отчетным годом (ранее - в срок не позднее чем через 10 рабочих дней со дня, следующего за днем внесения исправления в бухгалтерскую отчетность).</w:t>
      </w:r>
    </w:p>
    <w:p w:rsidR="00DB5D4E" w:rsidRDefault="00DB5D4E">
      <w:pPr>
        <w:pStyle w:val="ConsPlusNormal"/>
        <w:spacing w:before="220"/>
        <w:ind w:firstLine="540"/>
        <w:jc w:val="both"/>
      </w:pPr>
      <w:r>
        <w:t>В случае, если федеральными законами и (или) учредительными документами экономического субъекта предусмотрено утверждение его бухгалтерской отчетности и эта отчетность, утвержденная после 31 июля года, следующего за отчетным годом, отличается от бухгалтерской отчетности, обязательный экземпляр которой ранее представлен в целях формирования ГИРБО, исправленная отчетность представляется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 (ранее - в срок не позднее чем через 10 рабочих дней со дня, следующего за днем утверждения годовой бухгалтерской отчетности экономического субъекта).</w:t>
      </w:r>
    </w:p>
    <w:p w:rsidR="00DB5D4E" w:rsidRDefault="00DB5D4E">
      <w:pPr>
        <w:pStyle w:val="ConsPlusNormal"/>
        <w:spacing w:before="220"/>
        <w:ind w:firstLine="540"/>
        <w:jc w:val="both"/>
      </w:pPr>
      <w:r>
        <w:t xml:space="preserve">Данное изменение вступило в силу со дня официального опубликования Федерального </w:t>
      </w:r>
      <w:hyperlink r:id="rId18" w:history="1">
        <w:r>
          <w:rPr>
            <w:color w:val="0000FF"/>
          </w:rPr>
          <w:t>закона</w:t>
        </w:r>
      </w:hyperlink>
      <w:r>
        <w:t xml:space="preserve"> от 30 декабря 2021 г. N 435-ФЗ, т.е. с 30 декабря 2021 г.</w:t>
      </w:r>
    </w:p>
    <w:p w:rsidR="00DB5D4E" w:rsidRDefault="00DB5D4E">
      <w:pPr>
        <w:pStyle w:val="ConsPlusNormal"/>
        <w:ind w:firstLine="540"/>
        <w:jc w:val="both"/>
      </w:pPr>
    </w:p>
    <w:p w:rsidR="00DB5D4E" w:rsidRDefault="00DB5D4E">
      <w:pPr>
        <w:pStyle w:val="ConsPlusTitle"/>
        <w:jc w:val="center"/>
        <w:outlineLvl w:val="0"/>
      </w:pPr>
      <w:r>
        <w:t>Уточнен порядок взимания платы за предоставление</w:t>
      </w:r>
    </w:p>
    <w:p w:rsidR="00DB5D4E" w:rsidRDefault="00DB5D4E">
      <w:pPr>
        <w:pStyle w:val="ConsPlusTitle"/>
        <w:jc w:val="center"/>
      </w:pPr>
      <w:r>
        <w:t>информации ГИРБО</w:t>
      </w:r>
    </w:p>
    <w:p w:rsidR="00DB5D4E" w:rsidRDefault="00DB5D4E">
      <w:pPr>
        <w:pStyle w:val="ConsPlusNormal"/>
        <w:ind w:firstLine="540"/>
        <w:jc w:val="both"/>
      </w:pPr>
    </w:p>
    <w:p w:rsidR="00DB5D4E" w:rsidRDefault="00DB5D4E">
      <w:pPr>
        <w:pStyle w:val="ConsPlusNormal"/>
        <w:ind w:firstLine="540"/>
        <w:jc w:val="both"/>
      </w:pPr>
      <w:r>
        <w:t xml:space="preserve">Согласно </w:t>
      </w:r>
      <w:hyperlink r:id="rId19" w:history="1">
        <w:r>
          <w:rPr>
            <w:color w:val="0000FF"/>
          </w:rPr>
          <w:t>части 10 статьи 18</w:t>
        </w:r>
      </w:hyperlink>
      <w:r>
        <w:t xml:space="preserve"> Федерального закона "О бухгалтерском учете" за предоставление информации, содержащейся в ГИРБО, взимается плата. Это требование не распространяется на государственные органы, органы местного самоуправления и Банк России, которым информация предоставляется бесплатно.</w:t>
      </w:r>
    </w:p>
    <w:p w:rsidR="00DB5D4E" w:rsidRDefault="00DB5D4E">
      <w:pPr>
        <w:pStyle w:val="ConsPlusNormal"/>
        <w:spacing w:before="220"/>
        <w:ind w:firstLine="540"/>
        <w:jc w:val="both"/>
      </w:pPr>
      <w:r>
        <w:lastRenderedPageBreak/>
        <w:t xml:space="preserve">Федеральным </w:t>
      </w:r>
      <w:hyperlink r:id="rId20" w:history="1">
        <w:r>
          <w:rPr>
            <w:color w:val="0000FF"/>
          </w:rPr>
          <w:t>законом</w:t>
        </w:r>
      </w:hyperlink>
      <w:r>
        <w:t xml:space="preserve"> от 30 декабря 2021 г. N 435-ФЗ уточнено, что указанная плата взимается только в случаях, определенных Правительством Российской Федерации. Такой случай установлен </w:t>
      </w:r>
      <w:hyperlink r:id="rId21" w:history="1">
        <w:r>
          <w:rPr>
            <w:color w:val="0000FF"/>
          </w:rPr>
          <w:t>постановлением</w:t>
        </w:r>
      </w:hyperlink>
      <w:r>
        <w:t xml:space="preserve"> Правительства Российской Федерации от 25 июня 2019 г. N 811, а именно: в случае предоставления пользователям информации, содержащейся в ГИРБО, в электронном виде в форме годового абонентского обслуживания одного рабочего места.</w:t>
      </w:r>
    </w:p>
    <w:p w:rsidR="00DB5D4E" w:rsidRDefault="00DB5D4E">
      <w:pPr>
        <w:pStyle w:val="ConsPlusNormal"/>
        <w:spacing w:before="220"/>
        <w:ind w:firstLine="540"/>
        <w:jc w:val="both"/>
      </w:pPr>
      <w:r>
        <w:t xml:space="preserve">Данное изменение вступило в силу со дня официального опубликования Федерального </w:t>
      </w:r>
      <w:hyperlink r:id="rId22" w:history="1">
        <w:r>
          <w:rPr>
            <w:color w:val="0000FF"/>
          </w:rPr>
          <w:t>закона</w:t>
        </w:r>
      </w:hyperlink>
      <w:r>
        <w:t xml:space="preserve"> от 30 декабря 2021 г. N 435-ФЗ, т.е. с 30 декабря 2021 г.</w:t>
      </w:r>
    </w:p>
    <w:p w:rsidR="00DB5D4E" w:rsidRDefault="00DB5D4E">
      <w:pPr>
        <w:pStyle w:val="ConsPlusNormal"/>
        <w:jc w:val="center"/>
      </w:pPr>
    </w:p>
    <w:p w:rsidR="00DB5D4E" w:rsidRDefault="00DB5D4E">
      <w:pPr>
        <w:pStyle w:val="ConsPlusTitle"/>
        <w:jc w:val="center"/>
        <w:outlineLvl w:val="0"/>
      </w:pPr>
      <w:r>
        <w:t>Уточнен перечень документов регулирования бухгалтерского</w:t>
      </w:r>
    </w:p>
    <w:p w:rsidR="00DB5D4E" w:rsidRDefault="00DB5D4E">
      <w:pPr>
        <w:pStyle w:val="ConsPlusTitle"/>
        <w:jc w:val="center"/>
      </w:pPr>
      <w:r>
        <w:t>учета в Банке России</w:t>
      </w:r>
    </w:p>
    <w:p w:rsidR="00DB5D4E" w:rsidRDefault="00DB5D4E">
      <w:pPr>
        <w:pStyle w:val="ConsPlusNormal"/>
        <w:jc w:val="center"/>
      </w:pPr>
    </w:p>
    <w:p w:rsidR="00DB5D4E" w:rsidRDefault="00DB5D4E">
      <w:pPr>
        <w:pStyle w:val="ConsPlusNormal"/>
        <w:ind w:firstLine="540"/>
        <w:jc w:val="both"/>
      </w:pPr>
      <w:r>
        <w:t xml:space="preserve">Федеральным </w:t>
      </w:r>
      <w:hyperlink r:id="rId23" w:history="1">
        <w:r>
          <w:rPr>
            <w:color w:val="0000FF"/>
          </w:rPr>
          <w:t>законом</w:t>
        </w:r>
      </w:hyperlink>
      <w:r>
        <w:t xml:space="preserve"> от 30 декабря 2021 г. N 443-ФЗ внесен ряд изменений в </w:t>
      </w:r>
      <w:hyperlink r:id="rId24" w:history="1">
        <w:r>
          <w:rPr>
            <w:color w:val="0000FF"/>
          </w:rPr>
          <w:t>статью 21</w:t>
        </w:r>
      </w:hyperlink>
      <w:r>
        <w:t xml:space="preserve"> Федерального закона "О бухгалтерском учете", направленных на совершенствование системы регулирования бухгалтерского учета в Банке России:</w:t>
      </w:r>
    </w:p>
    <w:p w:rsidR="00DB5D4E" w:rsidRDefault="00DB5D4E">
      <w:pPr>
        <w:pStyle w:val="ConsPlusNormal"/>
        <w:spacing w:before="220"/>
        <w:ind w:firstLine="540"/>
        <w:jc w:val="both"/>
      </w:pPr>
      <w:r>
        <w:t>перечень документов в области регулирования бухгалтерского учета дополнен нормативными актами Банка России по организации и ведению бухгалтерского учета для Банка России (ранее - лишь нормативные акты Банка России по организации и ведению бухгалтерского учета в кредитных и некредитных финансовых организациях);</w:t>
      </w:r>
    </w:p>
    <w:p w:rsidR="00DB5D4E" w:rsidRDefault="00DB5D4E">
      <w:pPr>
        <w:pStyle w:val="ConsPlusNormal"/>
        <w:spacing w:before="220"/>
        <w:ind w:firstLine="540"/>
        <w:jc w:val="both"/>
      </w:pPr>
      <w:r>
        <w:t>план счетов бухгалтерского учета для Банка России и порядок его применения исключены из перечня вопросов, регулируемых федеральными стандартами бухгалтерского учета (ранее - были исключены лишь планы счетов бухгалтерского учета для кредитных и некредитных финансовых организаций, бюро кредитных историй, кредитных рейтинговых агентств и порядок их применения);</w:t>
      </w:r>
    </w:p>
    <w:p w:rsidR="00DB5D4E" w:rsidRDefault="00DB5D4E">
      <w:pPr>
        <w:pStyle w:val="ConsPlusNormal"/>
        <w:spacing w:before="220"/>
        <w:ind w:firstLine="540"/>
        <w:jc w:val="both"/>
      </w:pPr>
      <w:r>
        <w:t>перечень документов для организации и ведения бухгалтерского учета Банком России дополнен отраслевыми стандартами бухгалтерского учета в Банке России (ранее - лишь план счетов бухгалтерского учета для Банка России и порядок его применения);</w:t>
      </w:r>
    </w:p>
    <w:p w:rsidR="00DB5D4E" w:rsidRDefault="00DB5D4E">
      <w:pPr>
        <w:pStyle w:val="ConsPlusNormal"/>
        <w:spacing w:before="220"/>
        <w:ind w:firstLine="540"/>
        <w:jc w:val="both"/>
      </w:pPr>
      <w:r>
        <w:t>отменена обязательность применения федеральных стандартов бухгалтерского учета при принятии Банком России документов для организации и ведения бухгалтерского учета в нем.</w:t>
      </w:r>
    </w:p>
    <w:p w:rsidR="00DB5D4E" w:rsidRDefault="00DB5D4E">
      <w:pPr>
        <w:pStyle w:val="ConsPlusNormal"/>
        <w:spacing w:before="220"/>
        <w:ind w:firstLine="540"/>
        <w:jc w:val="both"/>
      </w:pPr>
      <w:r>
        <w:t xml:space="preserve">Федеральный </w:t>
      </w:r>
      <w:hyperlink r:id="rId25" w:history="1">
        <w:r>
          <w:rPr>
            <w:color w:val="0000FF"/>
          </w:rPr>
          <w:t>закон</w:t>
        </w:r>
      </w:hyperlink>
      <w:r>
        <w:t xml:space="preserve"> от 30 декабря 2021 г. N 443-ФЗ вступил в силу со дня его официального опубликования, т.е. с 30 декабря 2021 г.</w:t>
      </w:r>
    </w:p>
    <w:p w:rsidR="00DB5D4E" w:rsidRDefault="00DB5D4E">
      <w:pPr>
        <w:pStyle w:val="ConsPlusNormal"/>
        <w:jc w:val="center"/>
      </w:pPr>
    </w:p>
    <w:p w:rsidR="00DB5D4E" w:rsidRDefault="00DB5D4E">
      <w:pPr>
        <w:pStyle w:val="ConsPlusTitle"/>
        <w:jc w:val="center"/>
        <w:outlineLvl w:val="0"/>
      </w:pPr>
      <w:r>
        <w:t>Уточнен состав сведений о бухгалтерской отчетности,</w:t>
      </w:r>
    </w:p>
    <w:p w:rsidR="00DB5D4E" w:rsidRDefault="00DB5D4E">
      <w:pPr>
        <w:pStyle w:val="ConsPlusTitle"/>
        <w:jc w:val="center"/>
      </w:pPr>
      <w:r>
        <w:t>раскрываемых в Едином федеральном реестре сведений о фактах</w:t>
      </w:r>
    </w:p>
    <w:p w:rsidR="00DB5D4E" w:rsidRDefault="00DB5D4E">
      <w:pPr>
        <w:pStyle w:val="ConsPlusTitle"/>
        <w:jc w:val="center"/>
      </w:pPr>
      <w:r>
        <w:t>деятельности юридических лиц</w:t>
      </w:r>
    </w:p>
    <w:p w:rsidR="00DB5D4E" w:rsidRDefault="00DB5D4E">
      <w:pPr>
        <w:pStyle w:val="ConsPlusNormal"/>
        <w:ind w:firstLine="540"/>
        <w:jc w:val="both"/>
      </w:pPr>
    </w:p>
    <w:p w:rsidR="00DB5D4E" w:rsidRDefault="00DB5D4E">
      <w:pPr>
        <w:pStyle w:val="ConsPlusNormal"/>
        <w:ind w:firstLine="540"/>
        <w:jc w:val="both"/>
      </w:pPr>
      <w:r>
        <w:t xml:space="preserve">С целью кодификации норм законодательства Российской Федерации о раскрытии сведений об отчетности организаций и результатах обязательного аудита ее в Едином федеральном реестре сведений о фактах деятельности юридических лиц (далее - Федресурс), Федеральным </w:t>
      </w:r>
      <w:hyperlink r:id="rId26" w:history="1">
        <w:r>
          <w:rPr>
            <w:color w:val="0000FF"/>
          </w:rPr>
          <w:t>законом</w:t>
        </w:r>
      </w:hyperlink>
      <w:r>
        <w:t xml:space="preserve"> от 30 декабря 2021 г. N 435-ФЗ внесены изменения в Федеральный </w:t>
      </w:r>
      <w:hyperlink r:id="rId27" w:history="1">
        <w:r>
          <w:rPr>
            <w:color w:val="0000FF"/>
          </w:rPr>
          <w:t>закон</w:t>
        </w:r>
      </w:hyperlink>
      <w:r>
        <w:t xml:space="preserve"> "О государственной регистрации юридических лиц и индивидуальных предпринимателей" и Федеральный </w:t>
      </w:r>
      <w:hyperlink r:id="rId28" w:history="1">
        <w:r>
          <w:rPr>
            <w:color w:val="0000FF"/>
          </w:rPr>
          <w:t>закон</w:t>
        </w:r>
      </w:hyperlink>
      <w:r>
        <w:t xml:space="preserve"> "Об аудиторской деятельности".</w:t>
      </w:r>
    </w:p>
    <w:p w:rsidR="00DB5D4E" w:rsidRDefault="00DB5D4E">
      <w:pPr>
        <w:pStyle w:val="ConsPlusNormal"/>
        <w:spacing w:before="220"/>
        <w:ind w:firstLine="540"/>
        <w:jc w:val="both"/>
      </w:pPr>
      <w:r>
        <w:t xml:space="preserve">В </w:t>
      </w:r>
      <w:hyperlink r:id="rId29" w:history="1">
        <w:r>
          <w:rPr>
            <w:color w:val="0000FF"/>
          </w:rPr>
          <w:t>подпункте "л.2" пункта 7 статьи 71</w:t>
        </w:r>
      </w:hyperlink>
      <w:r>
        <w:t xml:space="preserve"> Федерального закона "О государственной регистрации юридических лиц и индивидуальных предпринимателей" установлен исчерпывающий перечень сведений о бухгалтерской отчетности и консолидированной финансовой отчетности (при наличии), а также о результатах обязательного аудита этой отчетности (ранее - конкретизация сведений о финансовой и (или) бухгалтерской отчетности отсутствовала; перечень сведений об обязательном аудите был установлен Федеральным </w:t>
      </w:r>
      <w:hyperlink r:id="rId30" w:history="1">
        <w:r>
          <w:rPr>
            <w:color w:val="0000FF"/>
          </w:rPr>
          <w:t>законом</w:t>
        </w:r>
      </w:hyperlink>
      <w:r>
        <w:t xml:space="preserve"> "Об аудиторской деятельности"). Состав сведений, раскрываемых в Федресурсе, зависит от того, представляется ли отчетность и аудиторское </w:t>
      </w:r>
      <w:r>
        <w:lastRenderedPageBreak/>
        <w:t>заключение о ней в ГИРБО</w:t>
      </w:r>
    </w:p>
    <w:p w:rsidR="00DB5D4E" w:rsidRDefault="00DB5D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gridCol w:w="2040"/>
        <w:gridCol w:w="1643"/>
      </w:tblGrid>
      <w:tr w:rsidR="00DB5D4E">
        <w:tc>
          <w:tcPr>
            <w:tcW w:w="3969" w:type="dxa"/>
            <w:vMerge w:val="restart"/>
          </w:tcPr>
          <w:p w:rsidR="00DB5D4E" w:rsidRDefault="00DB5D4E">
            <w:pPr>
              <w:pStyle w:val="ConsPlusNormal"/>
              <w:jc w:val="center"/>
            </w:pPr>
            <w:r>
              <w:t>Вид сведений</w:t>
            </w:r>
          </w:p>
        </w:tc>
        <w:tc>
          <w:tcPr>
            <w:tcW w:w="3457" w:type="dxa"/>
            <w:gridSpan w:val="2"/>
          </w:tcPr>
          <w:p w:rsidR="00DB5D4E" w:rsidRDefault="00DB5D4E">
            <w:pPr>
              <w:pStyle w:val="ConsPlusNormal"/>
              <w:jc w:val="center"/>
            </w:pPr>
            <w:r>
              <w:t>Бухгалтерская отчетность и аудиторское заключение о ней</w:t>
            </w:r>
          </w:p>
        </w:tc>
        <w:tc>
          <w:tcPr>
            <w:tcW w:w="1643" w:type="dxa"/>
            <w:vMerge w:val="restart"/>
          </w:tcPr>
          <w:p w:rsidR="00DB5D4E" w:rsidRDefault="00DB5D4E">
            <w:pPr>
              <w:pStyle w:val="ConsPlusNormal"/>
              <w:jc w:val="center"/>
            </w:pPr>
            <w:r>
              <w:t>Консолидированная финансовая отчетности и аудиторское заключение о ней</w:t>
            </w:r>
          </w:p>
        </w:tc>
      </w:tr>
      <w:tr w:rsidR="00DB5D4E">
        <w:tc>
          <w:tcPr>
            <w:tcW w:w="3969" w:type="dxa"/>
            <w:vMerge/>
          </w:tcPr>
          <w:p w:rsidR="00DB5D4E" w:rsidRDefault="00DB5D4E">
            <w:pPr>
              <w:spacing w:after="1" w:line="0" w:lineRule="atLeast"/>
            </w:pPr>
          </w:p>
        </w:tc>
        <w:tc>
          <w:tcPr>
            <w:tcW w:w="1417" w:type="dxa"/>
          </w:tcPr>
          <w:p w:rsidR="00DB5D4E" w:rsidRDefault="00DB5D4E">
            <w:pPr>
              <w:pStyle w:val="ConsPlusNormal"/>
              <w:jc w:val="center"/>
            </w:pPr>
            <w:r>
              <w:t>представляются в ГИРБО</w:t>
            </w:r>
          </w:p>
        </w:tc>
        <w:tc>
          <w:tcPr>
            <w:tcW w:w="2040" w:type="dxa"/>
          </w:tcPr>
          <w:p w:rsidR="00DB5D4E" w:rsidRDefault="00DB5D4E">
            <w:pPr>
              <w:pStyle w:val="ConsPlusNormal"/>
              <w:jc w:val="center"/>
            </w:pPr>
            <w:r>
              <w:t>не представляются в ГИРБО</w:t>
            </w:r>
          </w:p>
        </w:tc>
        <w:tc>
          <w:tcPr>
            <w:tcW w:w="1643" w:type="dxa"/>
            <w:vMerge/>
          </w:tcPr>
          <w:p w:rsidR="00DB5D4E" w:rsidRDefault="00DB5D4E">
            <w:pPr>
              <w:spacing w:after="1" w:line="0" w:lineRule="atLeast"/>
            </w:pPr>
          </w:p>
        </w:tc>
      </w:tr>
      <w:tr w:rsidR="00DB5D4E">
        <w:tc>
          <w:tcPr>
            <w:tcW w:w="3969" w:type="dxa"/>
          </w:tcPr>
          <w:p w:rsidR="00DB5D4E" w:rsidRDefault="00DB5D4E">
            <w:pPr>
              <w:pStyle w:val="ConsPlusNormal"/>
              <w:jc w:val="both"/>
            </w:pPr>
            <w:r>
              <w:t>Период, за который составлена отчетность</w:t>
            </w:r>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Дата, по состоянию на которую составлена отчетность</w:t>
            </w:r>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 xml:space="preserve">Дата составления отчетности </w:t>
            </w:r>
            <w:hyperlink w:anchor="P111" w:history="1">
              <w:r>
                <w:rPr>
                  <w:color w:val="0000FF"/>
                </w:rPr>
                <w:t>&lt;2&gt;</w:t>
              </w:r>
            </w:hyperlink>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Дата утверждения отчетности, если федеральными законами и (или) учредительными документами юридического лица предусмотрено ее утверждение</w:t>
            </w:r>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w:t>
            </w:r>
          </w:p>
        </w:tc>
      </w:tr>
      <w:tr w:rsidR="00DB5D4E">
        <w:tc>
          <w:tcPr>
            <w:tcW w:w="3969" w:type="dxa"/>
          </w:tcPr>
          <w:p w:rsidR="00DB5D4E" w:rsidRDefault="00DB5D4E">
            <w:pPr>
              <w:pStyle w:val="ConsPlusNormal"/>
              <w:jc w:val="both"/>
            </w:pPr>
            <w:r>
              <w:t>Дата представления отчетности в ГИРБО</w:t>
            </w:r>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w:t>
            </w:r>
          </w:p>
        </w:tc>
        <w:tc>
          <w:tcPr>
            <w:tcW w:w="1643" w:type="dxa"/>
          </w:tcPr>
          <w:p w:rsidR="00DB5D4E" w:rsidRDefault="00DB5D4E">
            <w:pPr>
              <w:pStyle w:val="ConsPlusNormal"/>
              <w:jc w:val="center"/>
            </w:pPr>
            <w:r>
              <w:t>-</w:t>
            </w:r>
          </w:p>
        </w:tc>
      </w:tr>
      <w:tr w:rsidR="00DB5D4E">
        <w:tc>
          <w:tcPr>
            <w:tcW w:w="3969" w:type="dxa"/>
          </w:tcPr>
          <w:p w:rsidR="00DB5D4E" w:rsidRDefault="00DB5D4E">
            <w:pPr>
              <w:pStyle w:val="ConsPlusNormal"/>
              <w:jc w:val="both"/>
            </w:pPr>
            <w:r>
              <w:t>Адрес Интернет-страницы (сайта), используемой для раскрытия отчетности (при наличии)</w:t>
            </w:r>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Дата раскрытия отчетности в Интернете</w:t>
            </w:r>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 xml:space="preserve">Наименование аудиторской организации, проводившей обязательный аудит отчетности </w:t>
            </w:r>
            <w:hyperlink w:anchor="P112" w:history="1">
              <w:r>
                <w:rPr>
                  <w:color w:val="0000FF"/>
                </w:rPr>
                <w:t>&lt;3&gt;</w:t>
              </w:r>
            </w:hyperlink>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 xml:space="preserve">ИНН и ОГРН аудиторской организации, проводившей обязательный аудит отчетности </w:t>
            </w:r>
            <w:hyperlink w:anchor="P112" w:history="1">
              <w:r>
                <w:rPr>
                  <w:color w:val="0000FF"/>
                </w:rPr>
                <w:t>&lt;3&gt;</w:t>
              </w:r>
            </w:hyperlink>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 xml:space="preserve">Дата аудиторского заключения, выданного по результатам обязательного аудита отчетности </w:t>
            </w:r>
            <w:hyperlink w:anchor="P112" w:history="1">
              <w:r>
                <w:rPr>
                  <w:color w:val="0000FF"/>
                </w:rPr>
                <w:t>&lt;3&gt;</w:t>
              </w:r>
            </w:hyperlink>
          </w:p>
        </w:tc>
        <w:tc>
          <w:tcPr>
            <w:tcW w:w="1417" w:type="dxa"/>
          </w:tcPr>
          <w:p w:rsidR="00DB5D4E" w:rsidRDefault="00DB5D4E">
            <w:pPr>
              <w:pStyle w:val="ConsPlusNormal"/>
              <w:jc w:val="center"/>
            </w:pPr>
            <w:r>
              <w:t>X</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r w:rsidR="00DB5D4E">
        <w:tc>
          <w:tcPr>
            <w:tcW w:w="3969" w:type="dxa"/>
          </w:tcPr>
          <w:p w:rsidR="00DB5D4E" w:rsidRDefault="00DB5D4E">
            <w:pPr>
              <w:pStyle w:val="ConsPlusNormal"/>
              <w:jc w:val="both"/>
            </w:pPr>
            <w:r>
              <w:t xml:space="preserve">Мнение аудиторской организации, проводившей обязательный аудит отчетности, о достоверности этой отчетности и обстоятельства, которые оказывают или могут оказать существенное влияние на ее достоверность </w:t>
            </w:r>
            <w:hyperlink w:anchor="P112" w:history="1">
              <w:r>
                <w:rPr>
                  <w:color w:val="0000FF"/>
                </w:rPr>
                <w:t>&lt;3&gt;</w:t>
              </w:r>
            </w:hyperlink>
          </w:p>
        </w:tc>
        <w:tc>
          <w:tcPr>
            <w:tcW w:w="1417" w:type="dxa"/>
          </w:tcPr>
          <w:p w:rsidR="00DB5D4E" w:rsidRDefault="00DB5D4E">
            <w:pPr>
              <w:pStyle w:val="ConsPlusNormal"/>
              <w:jc w:val="center"/>
            </w:pPr>
            <w:r>
              <w:t>-</w:t>
            </w:r>
          </w:p>
        </w:tc>
        <w:tc>
          <w:tcPr>
            <w:tcW w:w="2040" w:type="dxa"/>
          </w:tcPr>
          <w:p w:rsidR="00DB5D4E" w:rsidRDefault="00DB5D4E">
            <w:pPr>
              <w:pStyle w:val="ConsPlusNormal"/>
              <w:jc w:val="center"/>
            </w:pPr>
            <w:r>
              <w:t>X</w:t>
            </w:r>
          </w:p>
        </w:tc>
        <w:tc>
          <w:tcPr>
            <w:tcW w:w="1643" w:type="dxa"/>
          </w:tcPr>
          <w:p w:rsidR="00DB5D4E" w:rsidRDefault="00DB5D4E">
            <w:pPr>
              <w:pStyle w:val="ConsPlusNormal"/>
              <w:jc w:val="center"/>
            </w:pPr>
            <w:r>
              <w:t>X</w:t>
            </w:r>
          </w:p>
        </w:tc>
      </w:tr>
    </w:tbl>
    <w:p w:rsidR="00DB5D4E" w:rsidRDefault="00DB5D4E">
      <w:pPr>
        <w:pStyle w:val="ConsPlusNormal"/>
        <w:ind w:firstLine="540"/>
        <w:jc w:val="both"/>
      </w:pPr>
    </w:p>
    <w:p w:rsidR="00DB5D4E" w:rsidRDefault="00DB5D4E">
      <w:pPr>
        <w:pStyle w:val="ConsPlusNormal"/>
        <w:ind w:firstLine="540"/>
        <w:jc w:val="both"/>
      </w:pPr>
      <w:r>
        <w:t>--------------------------------</w:t>
      </w:r>
    </w:p>
    <w:p w:rsidR="00DB5D4E" w:rsidRDefault="00DB5D4E">
      <w:pPr>
        <w:pStyle w:val="ConsPlusNormal"/>
        <w:spacing w:before="220"/>
        <w:ind w:firstLine="540"/>
        <w:jc w:val="both"/>
      </w:pPr>
      <w:bookmarkStart w:id="0" w:name="P111"/>
      <w:bookmarkEnd w:id="0"/>
      <w:r>
        <w:t xml:space="preserve">&lt;2&gt; Согласно Федеральному </w:t>
      </w:r>
      <w:hyperlink r:id="rId31" w:history="1">
        <w:r>
          <w:rPr>
            <w:color w:val="0000FF"/>
          </w:rPr>
          <w:t>закону</w:t>
        </w:r>
      </w:hyperlink>
      <w:r>
        <w:t xml:space="preserve"> "О бухгалтерском учете" бухгалтерская отчетность </w:t>
      </w:r>
      <w:r>
        <w:lastRenderedPageBreak/>
        <w:t>считается составленной после подписания ее руководителем экономического субъекта.</w:t>
      </w:r>
    </w:p>
    <w:p w:rsidR="00DB5D4E" w:rsidRDefault="00DB5D4E">
      <w:pPr>
        <w:pStyle w:val="ConsPlusNormal"/>
        <w:spacing w:before="220"/>
        <w:ind w:firstLine="540"/>
        <w:jc w:val="both"/>
      </w:pPr>
      <w:bookmarkStart w:id="1" w:name="P112"/>
      <w:bookmarkEnd w:id="1"/>
      <w:r>
        <w:t>&lt;3&gt; В случае, если отчетность подлежит обязательному аудиту.</w:t>
      </w:r>
    </w:p>
    <w:p w:rsidR="00DB5D4E" w:rsidRDefault="00DB5D4E">
      <w:pPr>
        <w:pStyle w:val="ConsPlusNormal"/>
        <w:ind w:firstLine="540"/>
        <w:jc w:val="both"/>
      </w:pPr>
    </w:p>
    <w:p w:rsidR="00DB5D4E" w:rsidRDefault="00DB5D4E">
      <w:pPr>
        <w:pStyle w:val="ConsPlusNormal"/>
        <w:ind w:firstLine="540"/>
        <w:jc w:val="both"/>
      </w:pPr>
      <w:r>
        <w:t xml:space="preserve">В Федеральном </w:t>
      </w:r>
      <w:hyperlink r:id="rId32" w:history="1">
        <w:r>
          <w:rPr>
            <w:color w:val="0000FF"/>
          </w:rPr>
          <w:t>законе</w:t>
        </w:r>
      </w:hyperlink>
      <w:r>
        <w:t xml:space="preserve"> "Об аудиторской деятельности" признана утратившей силу </w:t>
      </w:r>
      <w:hyperlink r:id="rId33" w:history="1">
        <w:r>
          <w:rPr>
            <w:color w:val="0000FF"/>
          </w:rPr>
          <w:t>часть 6 статьи 5</w:t>
        </w:r>
      </w:hyperlink>
      <w:r>
        <w:t xml:space="preserve">, в которой был установлен перечень сведений о результатах обязательного аудита отчетности, подлежащих раскрытию в Федресурсе. Данное изменение внесено в Федеральный </w:t>
      </w:r>
      <w:hyperlink r:id="rId34" w:history="1">
        <w:r>
          <w:rPr>
            <w:color w:val="0000FF"/>
          </w:rPr>
          <w:t>закон</w:t>
        </w:r>
      </w:hyperlink>
      <w:r>
        <w:t xml:space="preserve"> с целью устранения дублирования </w:t>
      </w:r>
      <w:hyperlink r:id="rId35" w:history="1">
        <w:r>
          <w:rPr>
            <w:color w:val="0000FF"/>
          </w:rPr>
          <w:t>части 6</w:t>
        </w:r>
      </w:hyperlink>
      <w:r>
        <w:t xml:space="preserve"> и </w:t>
      </w:r>
      <w:hyperlink r:id="rId36" w:history="1">
        <w:r>
          <w:rPr>
            <w:color w:val="0000FF"/>
          </w:rPr>
          <w:t>подпункта "л.2" пункта 7 статьи 71</w:t>
        </w:r>
      </w:hyperlink>
      <w:r>
        <w:t xml:space="preserve"> Федерального закона "О государственной регистрации юридических лиц и индивидуальных предпринимателей".</w:t>
      </w:r>
    </w:p>
    <w:p w:rsidR="00DB5D4E" w:rsidRDefault="00DB5D4E">
      <w:pPr>
        <w:pStyle w:val="ConsPlusNormal"/>
        <w:spacing w:before="220"/>
        <w:ind w:firstLine="540"/>
        <w:jc w:val="both"/>
      </w:pPr>
      <w:r>
        <w:t>Сведения об отчетности организаций и результатах обязательного аудита ее подлежат внесению в Федресурс, когда федеральным законом установлена обязанность по раскрытию такой информации в СМИ. Данное требование не действует в отношении сведений, составляющих государственную тайну, а также в иных случаях, установленных федеральными законами.</w:t>
      </w:r>
    </w:p>
    <w:p w:rsidR="00DB5D4E" w:rsidRDefault="00DB5D4E">
      <w:pPr>
        <w:pStyle w:val="ConsPlusNormal"/>
        <w:spacing w:before="220"/>
        <w:ind w:firstLine="540"/>
        <w:jc w:val="both"/>
      </w:pPr>
      <w:r>
        <w:t xml:space="preserve">Федеральный </w:t>
      </w:r>
      <w:hyperlink r:id="rId37" w:history="1">
        <w:r>
          <w:rPr>
            <w:color w:val="0000FF"/>
          </w:rPr>
          <w:t>закон</w:t>
        </w:r>
      </w:hyperlink>
      <w:r>
        <w:t xml:space="preserve"> от 30 декабря 2021 г. N 435-ФЗ в части вопросов, рассмотренных в настоящем разделе, вступил в силу со дня его официального опубликования, т.е. с 30 декабря 2021 г.</w:t>
      </w:r>
    </w:p>
    <w:p w:rsidR="00DB5D4E" w:rsidRDefault="00DB5D4E">
      <w:pPr>
        <w:pStyle w:val="ConsPlusNormal"/>
        <w:ind w:firstLine="540"/>
        <w:jc w:val="both"/>
      </w:pPr>
    </w:p>
    <w:p w:rsidR="00DB5D4E" w:rsidRDefault="00DB5D4E">
      <w:pPr>
        <w:pStyle w:val="ConsPlusNormal"/>
        <w:jc w:val="right"/>
      </w:pPr>
      <w:r>
        <w:t>Департамент регулирования</w:t>
      </w:r>
    </w:p>
    <w:p w:rsidR="00DB5D4E" w:rsidRDefault="00DB5D4E">
      <w:pPr>
        <w:pStyle w:val="ConsPlusNormal"/>
        <w:jc w:val="right"/>
      </w:pPr>
      <w:r>
        <w:t>бухгалтерского учета, финансовой</w:t>
      </w:r>
    </w:p>
    <w:p w:rsidR="00DB5D4E" w:rsidRDefault="00DB5D4E">
      <w:pPr>
        <w:pStyle w:val="ConsPlusNormal"/>
        <w:jc w:val="right"/>
      </w:pPr>
      <w:r>
        <w:t>отчетности и аудиторской деятельности</w:t>
      </w:r>
    </w:p>
    <w:p w:rsidR="00DB5D4E" w:rsidRDefault="00DB5D4E">
      <w:pPr>
        <w:pStyle w:val="ConsPlusNormal"/>
        <w:jc w:val="right"/>
      </w:pPr>
      <w:r>
        <w:t>Минфина России</w:t>
      </w:r>
    </w:p>
    <w:p w:rsidR="00DB5D4E" w:rsidRDefault="00DB5D4E">
      <w:pPr>
        <w:pStyle w:val="ConsPlusNormal"/>
        <w:jc w:val="both"/>
      </w:pPr>
    </w:p>
    <w:p w:rsidR="00DB5D4E" w:rsidRDefault="00DB5D4E">
      <w:pPr>
        <w:pStyle w:val="ConsPlusNormal"/>
        <w:jc w:val="both"/>
      </w:pPr>
    </w:p>
    <w:p w:rsidR="00DB5D4E" w:rsidRDefault="00DB5D4E">
      <w:pPr>
        <w:pStyle w:val="ConsPlusNormal"/>
        <w:pBdr>
          <w:top w:val="single" w:sz="6" w:space="0" w:color="auto"/>
        </w:pBdr>
        <w:spacing w:before="100" w:after="100"/>
        <w:jc w:val="both"/>
        <w:rPr>
          <w:sz w:val="2"/>
          <w:szCs w:val="2"/>
        </w:rPr>
      </w:pPr>
    </w:p>
    <w:p w:rsidR="00ED2366" w:rsidRDefault="00DB5D4E">
      <w:bookmarkStart w:id="2" w:name="_GoBack"/>
      <w:bookmarkEnd w:id="2"/>
    </w:p>
    <w:sectPr w:rsidR="00ED2366" w:rsidSect="00CF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4E"/>
    <w:rsid w:val="007D4CF0"/>
    <w:rsid w:val="00AB2C07"/>
    <w:rsid w:val="00DB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E4A20-16D9-4703-AA16-64D52F61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5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D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9A3095EDDA54C1E67F6229C8C9A68CD8A8E21AC423A554C975127A558C7F0CF7E592D7725F3A06215D66F73a4V6R" TargetMode="External"/><Relationship Id="rId13" Type="http://schemas.openxmlformats.org/officeDocument/2006/relationships/hyperlink" Target="consultantplus://offline/ref=D4B9A3095EDDA54C1E67F6229C8C9A68CD86842CAD463A554C975127A558C7F0DD7E01247E28B9F1275ED96E775A5FA7DEF79C10aEVER" TargetMode="External"/><Relationship Id="rId18" Type="http://schemas.openxmlformats.org/officeDocument/2006/relationships/hyperlink" Target="consultantplus://offline/ref=D4B9A3095EDDA54C1E67F6229C8C9A68CA8E882AA9453A554C975127A558C7F0CF7E592D7725F3A06215D66F73a4V6R" TargetMode="External"/><Relationship Id="rId26" Type="http://schemas.openxmlformats.org/officeDocument/2006/relationships/hyperlink" Target="consultantplus://offline/ref=D4B9A3095EDDA54C1E67F6229C8C9A68CA8E882AA9453A554C975127A558C7F0CF7E592D7725F3A06215D66F73a4V6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4B9A3095EDDA54C1E67F6229C8C9A68CD8C8A2FA4403A554C975127A558C7F0CF7E592D7725F3A06215D66F73a4V6R" TargetMode="External"/><Relationship Id="rId34" Type="http://schemas.openxmlformats.org/officeDocument/2006/relationships/hyperlink" Target="consultantplus://offline/ref=D4B9A3095EDDA54C1E67F6229C8C9A68CD86842CAC463A554C975127A558C7F0CF7E592D7725F3A06215D66F73a4V6R" TargetMode="External"/><Relationship Id="rId7" Type="http://schemas.openxmlformats.org/officeDocument/2006/relationships/hyperlink" Target="consultantplus://offline/ref=D4B9A3095EDDA54C1E67F6229C8C9A68CD86842CAD463A554C975127A558C7F0DD7E01237328B9F1275ED96E775A5FA7DEF79C10aEVER" TargetMode="External"/><Relationship Id="rId12" Type="http://schemas.openxmlformats.org/officeDocument/2006/relationships/hyperlink" Target="consultantplus://offline/ref=D4B9A3095EDDA54C1E67F6229C8C9A68CD86842CAD463A554C975127A558C7F0CF7E592D7725F3A06215D66F73a4V6R" TargetMode="External"/><Relationship Id="rId17" Type="http://schemas.openxmlformats.org/officeDocument/2006/relationships/hyperlink" Target="consultantplus://offline/ref=D4B9A3095EDDA54C1E67F6229C8C9A68CA8E882AA9453A554C975127A558C7F0CF7E592D7725F3A06215D66F73a4V6R" TargetMode="External"/><Relationship Id="rId25" Type="http://schemas.openxmlformats.org/officeDocument/2006/relationships/hyperlink" Target="consultantplus://offline/ref=D4B9A3095EDDA54C1E67F6229C8C9A68CA8E882AAE4E3A554C975127A558C7F0CF7E592D7725F3A06215D66F73a4V6R" TargetMode="External"/><Relationship Id="rId33" Type="http://schemas.openxmlformats.org/officeDocument/2006/relationships/hyperlink" Target="consultantplus://offline/ref=D4B9A3095EDDA54C1E67F6229C8C9A68CD86842CAC463A554C975127A558C7F0DD7E01247524E6F4324F8162704241A6C1EB9E12EEa9V6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4B9A3095EDDA54C1E67F6229C8C9A68CD86842CAD463A554C975127A558C7F0DD7E01217522E6F4324F8162704241A6C1EB9E12EEa9V6R" TargetMode="External"/><Relationship Id="rId20" Type="http://schemas.openxmlformats.org/officeDocument/2006/relationships/hyperlink" Target="consultantplus://offline/ref=D4B9A3095EDDA54C1E67F6229C8C9A68CA8E882AA9453A554C975127A558C7F0CF7E592D7725F3A06215D66F73a4V6R" TargetMode="External"/><Relationship Id="rId29" Type="http://schemas.openxmlformats.org/officeDocument/2006/relationships/hyperlink" Target="consultantplus://offline/ref=D4B9A3095EDDA54C1E67F6229C8C9A68CA8E8820AC443A554C975127A558C7F0DD7E01217623E9A26000803E351152A7C6EB9C13F29695CDa9V2R" TargetMode="External"/><Relationship Id="rId1" Type="http://schemas.openxmlformats.org/officeDocument/2006/relationships/styles" Target="styles.xml"/><Relationship Id="rId6" Type="http://schemas.openxmlformats.org/officeDocument/2006/relationships/hyperlink" Target="consultantplus://offline/ref=D4B9A3095EDDA54C1E67F6229C8C9A68CA8E882AA9453A554C975127A558C7F0CF7E592D7725F3A06215D66F73a4V6R" TargetMode="External"/><Relationship Id="rId11" Type="http://schemas.openxmlformats.org/officeDocument/2006/relationships/hyperlink" Target="consultantplus://offline/ref=D4B9A3095EDDA54C1E67F6229C8C9A68CD8A8E21AC423A554C975127A558C7F0CF7E592D7725F3A06215D66F73a4V6R" TargetMode="External"/><Relationship Id="rId24" Type="http://schemas.openxmlformats.org/officeDocument/2006/relationships/hyperlink" Target="consultantplus://offline/ref=D4B9A3095EDDA54C1E67F6229C8C9A68CD86842CAD463A554C975127A558C7F0DD7E01217623ECA76400803E351152A7C6EB9C13F29695CDa9V2R" TargetMode="External"/><Relationship Id="rId32" Type="http://schemas.openxmlformats.org/officeDocument/2006/relationships/hyperlink" Target="consultantplus://offline/ref=D4B9A3095EDDA54C1E67F6229C8C9A68CD86842CAC463A554C975127A558C7F0CF7E592D7725F3A06215D66F73a4V6R" TargetMode="External"/><Relationship Id="rId37" Type="http://schemas.openxmlformats.org/officeDocument/2006/relationships/hyperlink" Target="consultantplus://offline/ref=D4B9A3095EDDA54C1E67F6229C8C9A68CA8E882AA9453A554C975127A558C7F0CF7E592D7725F3A06215D66F73a4V6R" TargetMode="External"/><Relationship Id="rId5" Type="http://schemas.openxmlformats.org/officeDocument/2006/relationships/hyperlink" Target="consultantplus://offline/ref=D4B9A3095EDDA54C1E67F6229C8C9A68CD86842CAD463A554C975127A558C7F0DD7E01237328B9F1275ED96E775A5FA7DEF79C10aEVER" TargetMode="External"/><Relationship Id="rId15" Type="http://schemas.openxmlformats.org/officeDocument/2006/relationships/hyperlink" Target="consultantplus://offline/ref=D4B9A3095EDDA54C1E67F6229C8C9A68CD8A8E21AC423A554C975127A558C7F0CF7E592D7725F3A06215D66F73a4V6R" TargetMode="External"/><Relationship Id="rId23" Type="http://schemas.openxmlformats.org/officeDocument/2006/relationships/hyperlink" Target="consultantplus://offline/ref=D4B9A3095EDDA54C1E67F6229C8C9A68CA8E882AAE4E3A554C975127A558C7F0CF7E592D7725F3A06215D66F73a4V6R" TargetMode="External"/><Relationship Id="rId28" Type="http://schemas.openxmlformats.org/officeDocument/2006/relationships/hyperlink" Target="consultantplus://offline/ref=D4B9A3095EDDA54C1E67F6229C8C9A68CD86842CAC463A554C975127A558C7F0CF7E592D7725F3A06215D66F73a4V6R" TargetMode="External"/><Relationship Id="rId36" Type="http://schemas.openxmlformats.org/officeDocument/2006/relationships/hyperlink" Target="consultantplus://offline/ref=D4B9A3095EDDA54C1E67F6229C8C9A68CA8E8820AC443A554C975127A558C7F0DD7E01217623E9A26000803E351152A7C6EB9C13F29695CDa9V2R" TargetMode="External"/><Relationship Id="rId10" Type="http://schemas.openxmlformats.org/officeDocument/2006/relationships/hyperlink" Target="consultantplus://offline/ref=D4B9A3095EDDA54C1E67F6229C8C9A68CD8A8E21AC423A554C975127A558C7F0CF7E592D7725F3A06215D66F73a4V6R" TargetMode="External"/><Relationship Id="rId19" Type="http://schemas.openxmlformats.org/officeDocument/2006/relationships/hyperlink" Target="consultantplus://offline/ref=D4B9A3095EDDA54C1E67F6229C8C9A68CD86842CAD463A554C975127A558C7F0DD7E01217527E6F4324F8162704241A6C1EB9E12EEa9V6R" TargetMode="External"/><Relationship Id="rId31" Type="http://schemas.openxmlformats.org/officeDocument/2006/relationships/hyperlink" Target="consultantplus://offline/ref=D4B9A3095EDDA54C1E67F6229C8C9A68CD86842CAD463A554C975127A558C7F0CF7E592D7725F3A06215D66F73a4V6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B9A3095EDDA54C1E67F6229C8C9A68CD86842CAD463A554C975127A558C7F0CF7E592D7725F3A06215D66F73a4V6R" TargetMode="External"/><Relationship Id="rId14" Type="http://schemas.openxmlformats.org/officeDocument/2006/relationships/hyperlink" Target="consultantplus://offline/ref=D4B9A3095EDDA54C1E67F6229C8C9A68CA8E882AA9453A554C975127A558C7F0CF7E592D7725F3A06215D66F73a4V6R" TargetMode="External"/><Relationship Id="rId22" Type="http://schemas.openxmlformats.org/officeDocument/2006/relationships/hyperlink" Target="consultantplus://offline/ref=D4B9A3095EDDA54C1E67F6229C8C9A68CA8E882AA9453A554C975127A558C7F0CF7E592D7725F3A06215D66F73a4V6R" TargetMode="External"/><Relationship Id="rId27" Type="http://schemas.openxmlformats.org/officeDocument/2006/relationships/hyperlink" Target="consultantplus://offline/ref=D4B9A3095EDDA54C1E67F6229C8C9A68CA8E8820AC443A554C975127A558C7F0CF7E592D7725F3A06215D66F73a4V6R" TargetMode="External"/><Relationship Id="rId30" Type="http://schemas.openxmlformats.org/officeDocument/2006/relationships/hyperlink" Target="consultantplus://offline/ref=D4B9A3095EDDA54C1E67F6229C8C9A68CD86842CAC463A554C975127A558C7F0CF7E592D7725F3A06215D66F73a4V6R" TargetMode="External"/><Relationship Id="rId35" Type="http://schemas.openxmlformats.org/officeDocument/2006/relationships/hyperlink" Target="consultantplus://offline/ref=D4B9A3095EDDA54C1E67F6229C8C9A68CA8E8820AC443A554C975127A558C7F0DD7E0121742BE6F4324F8162704241A6C1EB9E12EEa9V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Ольга А. Носова</cp:lastModifiedBy>
  <cp:revision>1</cp:revision>
  <dcterms:created xsi:type="dcterms:W3CDTF">2022-01-16T17:21:00Z</dcterms:created>
  <dcterms:modified xsi:type="dcterms:W3CDTF">2022-01-16T17:22:00Z</dcterms:modified>
</cp:coreProperties>
</file>