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561759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561759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152D0E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152D0E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152D0E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561759">
            <w:pPr>
              <w:spacing w:after="0" w:line="240" w:lineRule="auto"/>
              <w:jc w:val="both"/>
              <w:rPr>
                <w:color w:val="132455"/>
                <w:lang w:val="en-US"/>
              </w:rPr>
            </w:pPr>
          </w:p>
          <w:p w:rsidR="008F1A73" w:rsidRPr="00212AF9" w:rsidRDefault="008F1A73" w:rsidP="00561759">
            <w:pPr>
              <w:spacing w:after="0" w:line="240" w:lineRule="auto"/>
              <w:jc w:val="both"/>
              <w:rPr>
                <w:lang w:val="en-US"/>
              </w:rPr>
            </w:pPr>
          </w:p>
          <w:p w:rsidR="008F1A73" w:rsidRPr="00212AF9" w:rsidRDefault="008F1A73" w:rsidP="00561759">
            <w:pPr>
              <w:spacing w:after="0" w:line="240" w:lineRule="auto"/>
              <w:jc w:val="both"/>
              <w:rPr>
                <w:lang w:val="en-US"/>
              </w:rPr>
            </w:pPr>
          </w:p>
          <w:p w:rsidR="008F1A73" w:rsidRPr="00212AF9" w:rsidRDefault="008F1A73" w:rsidP="00561759">
            <w:pPr>
              <w:spacing w:after="0" w:line="240" w:lineRule="auto"/>
              <w:jc w:val="both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561759">
            <w:pPr>
              <w:spacing w:after="0" w:line="240" w:lineRule="auto"/>
              <w:ind w:right="-187"/>
              <w:jc w:val="both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561759">
            <w:pPr>
              <w:spacing w:after="0" w:line="240" w:lineRule="auto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152D0E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</w:p>
          <w:p w:rsidR="008F1A73" w:rsidRPr="00212AF9" w:rsidRDefault="008F1A73" w:rsidP="00152D0E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561759">
            <w:pPr>
              <w:spacing w:after="0" w:line="240" w:lineRule="auto"/>
              <w:ind w:right="-187"/>
              <w:jc w:val="both"/>
              <w:rPr>
                <w:color w:val="132455"/>
              </w:rPr>
            </w:pPr>
          </w:p>
        </w:tc>
      </w:tr>
    </w:tbl>
    <w:p w:rsidR="00243EDD" w:rsidRPr="009918D2" w:rsidRDefault="00243EDD" w:rsidP="00561759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561759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56175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C20D19" w:rsidRPr="0077704E" w:rsidRDefault="00C20D19" w:rsidP="0056175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D19" w:rsidRPr="00A567CC" w:rsidRDefault="00C20D19" w:rsidP="0056175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17 мая 2022 года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:rsidR="00A567CC" w:rsidRDefault="00A567CC" w:rsidP="0056175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заседании, помимо членов Комитета, присутствовали приглашённые лица: руководитель Аналитического центра СРО ААС Гришаев А.В. и аудитор</w:t>
      </w:r>
      <w:r>
        <w:rPr>
          <w:color w:val="000000"/>
          <w:sz w:val="23"/>
          <w:szCs w:val="23"/>
        </w:rPr>
        <w:t xml:space="preserve"> - </w:t>
      </w:r>
      <w:r w:rsidRPr="009918D2">
        <w:rPr>
          <w:color w:val="000000"/>
          <w:sz w:val="23"/>
          <w:szCs w:val="23"/>
        </w:rPr>
        <w:t>член СРО ААС.</w:t>
      </w:r>
    </w:p>
    <w:p w:rsidR="00A567CC" w:rsidRDefault="00A567CC" w:rsidP="0056175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:rsidR="00C20D19" w:rsidRPr="00A567CC" w:rsidRDefault="00C20D19" w:rsidP="0056175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На заседании были рассмотрены:</w:t>
      </w:r>
    </w:p>
    <w:p w:rsidR="00C20D19" w:rsidRPr="00A567CC" w:rsidRDefault="00C20D19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Утверждение кандидатуры секретаря Комитета</w:t>
      </w:r>
      <w:r w:rsidR="00152D0E">
        <w:rPr>
          <w:color w:val="000000"/>
          <w:sz w:val="23"/>
          <w:szCs w:val="23"/>
        </w:rPr>
        <w:t>;</w:t>
      </w:r>
    </w:p>
    <w:p w:rsidR="00C20D19" w:rsidRPr="00A567CC" w:rsidRDefault="00A567CC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 w:rsidR="00C20D19" w:rsidRPr="00A567CC">
        <w:rPr>
          <w:color w:val="000000"/>
          <w:sz w:val="23"/>
          <w:szCs w:val="23"/>
        </w:rPr>
        <w:t>оступившие жалобы в Комитет</w:t>
      </w:r>
      <w:r w:rsidR="00152D0E">
        <w:rPr>
          <w:color w:val="000000"/>
          <w:sz w:val="23"/>
          <w:szCs w:val="23"/>
        </w:rPr>
        <w:t>;</w:t>
      </w:r>
    </w:p>
    <w:p w:rsidR="00C20D19" w:rsidRPr="00A567CC" w:rsidRDefault="00C20D19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Оценка БДР</w:t>
      </w:r>
      <w:r w:rsidR="00152D0E">
        <w:rPr>
          <w:color w:val="000000"/>
          <w:sz w:val="23"/>
          <w:szCs w:val="23"/>
        </w:rPr>
        <w:t>;</w:t>
      </w:r>
    </w:p>
    <w:p w:rsidR="00C20D19" w:rsidRPr="00A567CC" w:rsidRDefault="00C20D19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Обсуждение порядка проведения Комитетом оценки БДР</w:t>
      </w:r>
      <w:r w:rsidR="00152D0E">
        <w:rPr>
          <w:color w:val="000000"/>
          <w:sz w:val="23"/>
          <w:szCs w:val="23"/>
        </w:rPr>
        <w:t>;</w:t>
      </w:r>
    </w:p>
    <w:p w:rsidR="00C20D19" w:rsidRPr="00A567CC" w:rsidRDefault="00C20D19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Выдвижение кандидатуры от КПЭН в Экспертный Совет при Правлении СРО ААС по оценке применимости МСА на территории Российской Федерации</w:t>
      </w:r>
      <w:r w:rsidR="00152D0E">
        <w:rPr>
          <w:color w:val="000000"/>
          <w:sz w:val="23"/>
          <w:szCs w:val="23"/>
        </w:rPr>
        <w:t>;</w:t>
      </w:r>
    </w:p>
    <w:p w:rsidR="00C20D19" w:rsidRPr="00A567CC" w:rsidRDefault="00C20D19" w:rsidP="0056175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Статус ЛНА СРО ААС «Порядок предотвращения и урегулирования конфликта интересов в Саморегулируемой организации аудиторов Ассоциации «Содружество».</w:t>
      </w:r>
    </w:p>
    <w:p w:rsidR="00561759" w:rsidRDefault="0056175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C20D19" w:rsidRPr="00A567CC" w:rsidRDefault="00A567CC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первому вопросу п</w:t>
      </w:r>
      <w:r w:rsidR="00371AB0">
        <w:rPr>
          <w:color w:val="000000"/>
          <w:sz w:val="23"/>
          <w:szCs w:val="23"/>
        </w:rPr>
        <w:t>редседателем К</w:t>
      </w:r>
      <w:r w:rsidR="00C20D19" w:rsidRPr="00A567CC">
        <w:rPr>
          <w:color w:val="000000"/>
          <w:sz w:val="23"/>
          <w:szCs w:val="23"/>
        </w:rPr>
        <w:t>омитета было сообщено о</w:t>
      </w:r>
      <w:r w:rsidR="00152D0E">
        <w:rPr>
          <w:color w:val="000000"/>
          <w:sz w:val="23"/>
          <w:szCs w:val="23"/>
        </w:rPr>
        <w:t xml:space="preserve"> предложении</w:t>
      </w:r>
      <w:r w:rsidR="00C20D19" w:rsidRPr="00A567CC">
        <w:rPr>
          <w:color w:val="000000"/>
          <w:sz w:val="23"/>
          <w:szCs w:val="23"/>
        </w:rPr>
        <w:t xml:space="preserve"> кандидатуры Замуруевой О.В. на должность секретаря комитета вместо Сопивнык Т.В. Член</w:t>
      </w:r>
      <w:r w:rsidR="00152D0E">
        <w:rPr>
          <w:color w:val="000000"/>
          <w:sz w:val="23"/>
          <w:szCs w:val="23"/>
        </w:rPr>
        <w:t>ы К</w:t>
      </w:r>
      <w:r w:rsidR="00C20D19" w:rsidRPr="00A567CC">
        <w:rPr>
          <w:color w:val="000000"/>
          <w:sz w:val="23"/>
          <w:szCs w:val="23"/>
        </w:rPr>
        <w:t xml:space="preserve">омитета </w:t>
      </w:r>
      <w:r w:rsidR="00152D0E">
        <w:rPr>
          <w:color w:val="000000"/>
          <w:sz w:val="23"/>
          <w:szCs w:val="23"/>
        </w:rPr>
        <w:t xml:space="preserve">приняли </w:t>
      </w:r>
      <w:r w:rsidR="00152D0E" w:rsidRPr="00A567CC">
        <w:rPr>
          <w:color w:val="000000"/>
          <w:sz w:val="23"/>
          <w:szCs w:val="23"/>
        </w:rPr>
        <w:t xml:space="preserve">решение </w:t>
      </w:r>
      <w:r w:rsidR="00152D0E">
        <w:rPr>
          <w:color w:val="000000"/>
          <w:sz w:val="23"/>
          <w:szCs w:val="23"/>
        </w:rPr>
        <w:t>об утверждении кандидатуры секретаря Комитета</w:t>
      </w:r>
      <w:r w:rsidR="00C20D19" w:rsidRPr="00A567CC">
        <w:rPr>
          <w:color w:val="000000"/>
          <w:sz w:val="23"/>
          <w:szCs w:val="23"/>
        </w:rPr>
        <w:t>.</w:t>
      </w:r>
    </w:p>
    <w:p w:rsidR="00561759" w:rsidRDefault="0056175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371AB0" w:rsidRDefault="00C20D1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П</w:t>
      </w:r>
      <w:r w:rsidR="00A567CC">
        <w:rPr>
          <w:color w:val="000000"/>
          <w:sz w:val="23"/>
          <w:szCs w:val="23"/>
        </w:rPr>
        <w:t xml:space="preserve">о второму вопросу Комитетом было рассмотрено четыре жалобы. </w:t>
      </w:r>
    </w:p>
    <w:p w:rsidR="00371AB0" w:rsidRDefault="00C7523E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 w:rsidR="00371AB0"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 одной жалобе Комитет принял решение </w:t>
      </w:r>
      <w:r w:rsidRPr="00561759">
        <w:rPr>
          <w:color w:val="000000"/>
          <w:sz w:val="23"/>
          <w:szCs w:val="23"/>
        </w:rPr>
        <w:t>об отсутствии достаточных оснований для формирования вывода о нарушени</w:t>
      </w:r>
      <w:r w:rsidRPr="00561759">
        <w:rPr>
          <w:color w:val="000000"/>
          <w:sz w:val="23"/>
          <w:szCs w:val="23"/>
        </w:rPr>
        <w:t>и</w:t>
      </w:r>
      <w:r w:rsidRPr="00561759">
        <w:rPr>
          <w:color w:val="000000"/>
          <w:sz w:val="23"/>
          <w:szCs w:val="23"/>
        </w:rPr>
        <w:t xml:space="preserve"> этических принципов, предусмотренных Кодексом профессиональной этики </w:t>
      </w:r>
      <w:r w:rsidR="00152D0E" w:rsidRPr="00561759">
        <w:rPr>
          <w:color w:val="000000"/>
          <w:sz w:val="23"/>
          <w:szCs w:val="23"/>
        </w:rPr>
        <w:t>аудиторов.</w:t>
      </w:r>
      <w:r w:rsidR="00152D0E" w:rsidRPr="00A567CC">
        <w:rPr>
          <w:color w:val="000000"/>
          <w:sz w:val="23"/>
          <w:szCs w:val="23"/>
        </w:rPr>
        <w:t xml:space="preserve"> </w:t>
      </w:r>
    </w:p>
    <w:p w:rsidR="00371AB0" w:rsidRDefault="00152D0E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>По</w:t>
      </w:r>
      <w:r w:rsidR="00C20D19" w:rsidRPr="00A567CC">
        <w:rPr>
          <w:color w:val="000000"/>
          <w:sz w:val="23"/>
          <w:szCs w:val="23"/>
        </w:rPr>
        <w:t xml:space="preserve"> </w:t>
      </w:r>
      <w:r w:rsidR="00C7523E">
        <w:rPr>
          <w:color w:val="000000"/>
          <w:sz w:val="23"/>
          <w:szCs w:val="23"/>
        </w:rPr>
        <w:t xml:space="preserve">двум жалобам </w:t>
      </w:r>
      <w:r w:rsidR="00371AB0">
        <w:rPr>
          <w:color w:val="000000"/>
          <w:sz w:val="23"/>
          <w:szCs w:val="23"/>
        </w:rPr>
        <w:t>ч</w:t>
      </w:r>
      <w:r w:rsidR="00C7523E">
        <w:rPr>
          <w:color w:val="000000"/>
          <w:sz w:val="23"/>
          <w:szCs w:val="23"/>
        </w:rPr>
        <w:t>лены Комитета приняли решение о наличии нарушений Кодекса профессиональной этики,</w:t>
      </w:r>
      <w:r w:rsidR="00C7523E" w:rsidRPr="00561759">
        <w:rPr>
          <w:color w:val="000000"/>
          <w:sz w:val="23"/>
          <w:szCs w:val="23"/>
        </w:rPr>
        <w:t xml:space="preserve"> </w:t>
      </w:r>
      <w:r w:rsidR="00C7523E" w:rsidRPr="00561759">
        <w:rPr>
          <w:color w:val="000000"/>
          <w:sz w:val="23"/>
          <w:szCs w:val="23"/>
        </w:rPr>
        <w:t>Правил независимости аудиторов и аудиторских организаций и п. 3 части 1 статьи 8 «Закона об аудиторской деятельности».</w:t>
      </w:r>
      <w:r w:rsidR="00C7523E" w:rsidRPr="00561759">
        <w:rPr>
          <w:color w:val="000000"/>
          <w:sz w:val="23"/>
          <w:szCs w:val="23"/>
        </w:rPr>
        <w:t xml:space="preserve"> Комитет у</w:t>
      </w:r>
      <w:r w:rsidR="00C7523E">
        <w:rPr>
          <w:color w:val="000000"/>
          <w:sz w:val="23"/>
          <w:szCs w:val="23"/>
        </w:rPr>
        <w:t>твердил заключение по жалобе для передачи его в Дисциплинарную комиссию СРО ААС</w:t>
      </w:r>
      <w:r w:rsidR="00C7523E" w:rsidRPr="00561759">
        <w:rPr>
          <w:color w:val="000000"/>
          <w:sz w:val="23"/>
          <w:szCs w:val="23"/>
        </w:rPr>
        <w:t>.</w:t>
      </w:r>
      <w:r w:rsidR="00371AB0">
        <w:rPr>
          <w:color w:val="000000"/>
          <w:sz w:val="23"/>
          <w:szCs w:val="23"/>
        </w:rPr>
        <w:t xml:space="preserve"> </w:t>
      </w:r>
    </w:p>
    <w:p w:rsidR="00A45A0B" w:rsidRDefault="00C20D1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567CC">
        <w:rPr>
          <w:color w:val="000000"/>
          <w:sz w:val="23"/>
          <w:szCs w:val="23"/>
        </w:rPr>
        <w:t xml:space="preserve">По четвертой жалобе </w:t>
      </w:r>
      <w:r w:rsidR="00C7523E">
        <w:rPr>
          <w:color w:val="000000"/>
          <w:sz w:val="23"/>
          <w:szCs w:val="23"/>
        </w:rPr>
        <w:t xml:space="preserve">члены Комитета </w:t>
      </w:r>
      <w:r w:rsidRPr="00A567CC">
        <w:rPr>
          <w:color w:val="000000"/>
          <w:sz w:val="23"/>
          <w:szCs w:val="23"/>
        </w:rPr>
        <w:t>реш</w:t>
      </w:r>
      <w:r w:rsidR="00C7523E">
        <w:rPr>
          <w:color w:val="000000"/>
          <w:sz w:val="23"/>
          <w:szCs w:val="23"/>
        </w:rPr>
        <w:t>или</w:t>
      </w:r>
      <w:r w:rsidRPr="00A567CC">
        <w:rPr>
          <w:color w:val="000000"/>
          <w:sz w:val="23"/>
          <w:szCs w:val="23"/>
        </w:rPr>
        <w:t xml:space="preserve"> внести корректировки в </w:t>
      </w:r>
      <w:r w:rsidR="00C7523E">
        <w:rPr>
          <w:color w:val="000000"/>
          <w:sz w:val="23"/>
          <w:szCs w:val="23"/>
        </w:rPr>
        <w:t xml:space="preserve">проект </w:t>
      </w:r>
      <w:r w:rsidRPr="00A567CC">
        <w:rPr>
          <w:color w:val="000000"/>
          <w:sz w:val="23"/>
          <w:szCs w:val="23"/>
        </w:rPr>
        <w:t>заключени</w:t>
      </w:r>
      <w:r w:rsidR="00371AB0">
        <w:rPr>
          <w:color w:val="000000"/>
          <w:sz w:val="23"/>
          <w:szCs w:val="23"/>
        </w:rPr>
        <w:t>я</w:t>
      </w:r>
      <w:r w:rsidR="00C7523E">
        <w:rPr>
          <w:color w:val="000000"/>
          <w:sz w:val="23"/>
          <w:szCs w:val="23"/>
        </w:rPr>
        <w:t>, подготовленного рабочей группой</w:t>
      </w:r>
      <w:r w:rsidR="00371AB0">
        <w:rPr>
          <w:color w:val="000000"/>
          <w:sz w:val="23"/>
          <w:szCs w:val="23"/>
        </w:rPr>
        <w:t>,</w:t>
      </w:r>
      <w:r w:rsidRPr="00A567CC">
        <w:rPr>
          <w:color w:val="000000"/>
          <w:sz w:val="23"/>
          <w:szCs w:val="23"/>
        </w:rPr>
        <w:t xml:space="preserve"> и направить </w:t>
      </w:r>
      <w:r w:rsidR="00371AB0">
        <w:rPr>
          <w:color w:val="000000"/>
          <w:sz w:val="23"/>
          <w:szCs w:val="23"/>
        </w:rPr>
        <w:t xml:space="preserve">его </w:t>
      </w:r>
      <w:r w:rsidRPr="00A567CC">
        <w:rPr>
          <w:color w:val="000000"/>
          <w:sz w:val="23"/>
          <w:szCs w:val="23"/>
        </w:rPr>
        <w:t xml:space="preserve">членам Комитета </w:t>
      </w:r>
      <w:r w:rsidR="00A45A0B">
        <w:rPr>
          <w:color w:val="000000"/>
          <w:sz w:val="23"/>
          <w:szCs w:val="23"/>
        </w:rPr>
        <w:t>для</w:t>
      </w:r>
      <w:r w:rsidRPr="00A567CC">
        <w:rPr>
          <w:color w:val="000000"/>
          <w:sz w:val="23"/>
          <w:szCs w:val="23"/>
        </w:rPr>
        <w:t xml:space="preserve"> рассмотрени</w:t>
      </w:r>
      <w:r w:rsidR="00A45A0B">
        <w:rPr>
          <w:color w:val="000000"/>
          <w:sz w:val="23"/>
          <w:szCs w:val="23"/>
        </w:rPr>
        <w:t>я</w:t>
      </w:r>
      <w:r w:rsidRPr="00A567CC">
        <w:rPr>
          <w:color w:val="000000"/>
          <w:sz w:val="23"/>
          <w:szCs w:val="23"/>
        </w:rPr>
        <w:t>. Вопрос о</w:t>
      </w:r>
      <w:r w:rsidR="00371AB0">
        <w:rPr>
          <w:color w:val="000000"/>
          <w:sz w:val="23"/>
          <w:szCs w:val="23"/>
        </w:rPr>
        <w:t>б оценке</w:t>
      </w:r>
      <w:r w:rsidRPr="00A567CC">
        <w:rPr>
          <w:color w:val="000000"/>
          <w:sz w:val="23"/>
          <w:szCs w:val="23"/>
        </w:rPr>
        <w:t xml:space="preserve"> БДР </w:t>
      </w:r>
      <w:r w:rsidR="00C7523E">
        <w:rPr>
          <w:color w:val="000000"/>
          <w:sz w:val="23"/>
          <w:szCs w:val="23"/>
        </w:rPr>
        <w:t xml:space="preserve">аудиторской </w:t>
      </w:r>
      <w:r w:rsidRPr="00A567CC">
        <w:rPr>
          <w:color w:val="000000"/>
          <w:sz w:val="23"/>
          <w:szCs w:val="23"/>
        </w:rPr>
        <w:t>организации «А»</w:t>
      </w:r>
      <w:r w:rsidR="00A45A0B">
        <w:rPr>
          <w:color w:val="000000"/>
          <w:sz w:val="23"/>
          <w:szCs w:val="23"/>
        </w:rPr>
        <w:t>, поименованной в материалах жалобы,</w:t>
      </w:r>
      <w:r w:rsidRPr="00A567CC">
        <w:rPr>
          <w:color w:val="000000"/>
          <w:sz w:val="23"/>
          <w:szCs w:val="23"/>
        </w:rPr>
        <w:t xml:space="preserve"> </w:t>
      </w:r>
      <w:r w:rsidR="00371AB0">
        <w:rPr>
          <w:color w:val="000000"/>
          <w:sz w:val="23"/>
          <w:szCs w:val="23"/>
        </w:rPr>
        <w:t xml:space="preserve">включить в повестку </w:t>
      </w:r>
      <w:r w:rsidRPr="00A567CC">
        <w:rPr>
          <w:color w:val="000000"/>
          <w:sz w:val="23"/>
          <w:szCs w:val="23"/>
        </w:rPr>
        <w:t>следующе</w:t>
      </w:r>
      <w:r w:rsidR="00371AB0">
        <w:rPr>
          <w:color w:val="000000"/>
          <w:sz w:val="23"/>
          <w:szCs w:val="23"/>
        </w:rPr>
        <w:t>го</w:t>
      </w:r>
      <w:r w:rsidRPr="00A567CC">
        <w:rPr>
          <w:color w:val="000000"/>
          <w:sz w:val="23"/>
          <w:szCs w:val="23"/>
        </w:rPr>
        <w:t xml:space="preserve"> заседани</w:t>
      </w:r>
      <w:r w:rsidR="00371AB0">
        <w:rPr>
          <w:color w:val="000000"/>
          <w:sz w:val="23"/>
          <w:szCs w:val="23"/>
        </w:rPr>
        <w:t>я</w:t>
      </w:r>
      <w:r w:rsidRPr="00A567CC">
        <w:rPr>
          <w:color w:val="000000"/>
          <w:sz w:val="23"/>
          <w:szCs w:val="23"/>
        </w:rPr>
        <w:t xml:space="preserve"> с приглашением генерального директора организации «А». </w:t>
      </w:r>
    </w:p>
    <w:p w:rsidR="00A45A0B" w:rsidRDefault="00A45A0B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A45A0B" w:rsidRDefault="00A45A0B" w:rsidP="00561759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</w:t>
      </w:r>
      <w:r w:rsidR="00561759">
        <w:rPr>
          <w:color w:val="000000"/>
          <w:sz w:val="23"/>
          <w:szCs w:val="23"/>
        </w:rPr>
        <w:t>третьему</w:t>
      </w:r>
      <w:r w:rsidRPr="00590956">
        <w:rPr>
          <w:color w:val="000000"/>
          <w:sz w:val="23"/>
          <w:szCs w:val="23"/>
        </w:rPr>
        <w:t xml:space="preserve"> вопросу </w:t>
      </w:r>
      <w:r>
        <w:rPr>
          <w:color w:val="000000"/>
          <w:sz w:val="23"/>
          <w:szCs w:val="23"/>
        </w:rPr>
        <w:t xml:space="preserve">Комитет провёл оценку соответствия </w:t>
      </w:r>
      <w:r w:rsidR="00561759">
        <w:rPr>
          <w:color w:val="000000"/>
          <w:sz w:val="23"/>
          <w:szCs w:val="23"/>
        </w:rPr>
        <w:t xml:space="preserve">шести </w:t>
      </w:r>
      <w:r>
        <w:rPr>
          <w:color w:val="000000"/>
          <w:sz w:val="23"/>
          <w:szCs w:val="23"/>
        </w:rPr>
        <w:t>аудитор</w:t>
      </w:r>
      <w:r w:rsidR="00561759">
        <w:rPr>
          <w:color w:val="000000"/>
          <w:sz w:val="23"/>
          <w:szCs w:val="23"/>
        </w:rPr>
        <w:t>ов</w:t>
      </w:r>
      <w:r>
        <w:rPr>
          <w:color w:val="000000"/>
          <w:sz w:val="23"/>
          <w:szCs w:val="23"/>
        </w:rPr>
        <w:t xml:space="preserve"> требованиям к членству в части наличия безупречной деловой репутации. </w:t>
      </w:r>
    </w:p>
    <w:p w:rsidR="00A45A0B" w:rsidRDefault="00561759" w:rsidP="00561759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Четверо </w:t>
      </w:r>
      <w:r w:rsidR="001071B3">
        <w:rPr>
          <w:color w:val="000000"/>
          <w:sz w:val="23"/>
          <w:szCs w:val="23"/>
        </w:rPr>
        <w:t>а</w:t>
      </w:r>
      <w:r w:rsidR="00A45A0B" w:rsidRPr="00D64D51">
        <w:rPr>
          <w:color w:val="000000"/>
          <w:sz w:val="23"/>
          <w:szCs w:val="23"/>
        </w:rPr>
        <w:t>удитор</w:t>
      </w:r>
      <w:r>
        <w:rPr>
          <w:color w:val="000000"/>
          <w:sz w:val="23"/>
          <w:szCs w:val="23"/>
        </w:rPr>
        <w:t>ов</w:t>
      </w:r>
      <w:r w:rsidR="00A45A0B" w:rsidRPr="00D64D51">
        <w:rPr>
          <w:color w:val="000000"/>
          <w:sz w:val="23"/>
          <w:szCs w:val="23"/>
        </w:rPr>
        <w:t xml:space="preserve"> предоставил</w:t>
      </w:r>
      <w:r w:rsidR="001071B3">
        <w:rPr>
          <w:color w:val="000000"/>
          <w:sz w:val="23"/>
          <w:szCs w:val="23"/>
        </w:rPr>
        <w:t>и</w:t>
      </w:r>
      <w:r w:rsidR="00A45A0B" w:rsidRPr="00D64D51">
        <w:rPr>
          <w:color w:val="000000"/>
          <w:sz w:val="23"/>
          <w:szCs w:val="23"/>
        </w:rPr>
        <w:t xml:space="preserve"> Комитету </w:t>
      </w:r>
      <w:r w:rsidR="00A45A0B">
        <w:rPr>
          <w:color w:val="000000"/>
          <w:sz w:val="23"/>
          <w:szCs w:val="23"/>
        </w:rPr>
        <w:t xml:space="preserve">письменные </w:t>
      </w:r>
      <w:r w:rsidR="00A45A0B" w:rsidRPr="00D64D51">
        <w:rPr>
          <w:color w:val="000000"/>
          <w:sz w:val="23"/>
          <w:szCs w:val="23"/>
        </w:rPr>
        <w:t>пояснения по обнаруженным в отношении н</w:t>
      </w:r>
      <w:r w:rsidR="001071B3">
        <w:rPr>
          <w:color w:val="000000"/>
          <w:sz w:val="23"/>
          <w:szCs w:val="23"/>
        </w:rPr>
        <w:t>их</w:t>
      </w:r>
      <w:r w:rsidR="00A45A0B" w:rsidRPr="00D64D51">
        <w:rPr>
          <w:color w:val="000000"/>
          <w:sz w:val="23"/>
          <w:szCs w:val="23"/>
        </w:rPr>
        <w:t xml:space="preserve"> свидетельствам отсутствия безупречной деловой (профессиональной) репутации</w:t>
      </w:r>
      <w:r w:rsidR="00A45A0B">
        <w:rPr>
          <w:color w:val="000000"/>
          <w:sz w:val="23"/>
          <w:szCs w:val="23"/>
        </w:rPr>
        <w:t xml:space="preserve">. </w:t>
      </w:r>
      <w:r w:rsidR="00152D0E">
        <w:rPr>
          <w:color w:val="000000"/>
          <w:sz w:val="23"/>
          <w:szCs w:val="23"/>
        </w:rPr>
        <w:t>Один аудитор</w:t>
      </w:r>
      <w:r w:rsidR="001071B3">
        <w:rPr>
          <w:color w:val="000000"/>
          <w:sz w:val="23"/>
          <w:szCs w:val="23"/>
        </w:rPr>
        <w:t xml:space="preserve"> </w:t>
      </w:r>
      <w:r w:rsidR="00A45A0B">
        <w:rPr>
          <w:color w:val="000000"/>
          <w:sz w:val="23"/>
          <w:szCs w:val="23"/>
        </w:rPr>
        <w:t>также присутствовал на заседании Комитета и дал дополнительные устные пояснения.</w:t>
      </w:r>
    </w:p>
    <w:p w:rsidR="00561759" w:rsidRPr="00561759" w:rsidRDefault="00A45A0B" w:rsidP="005617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двум</w:t>
      </w:r>
      <w:r w:rsidR="00286C95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принял решение о соответствии 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требованиям к членству в части наличия безупречной деловой репутации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Также члены Комитета решили н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аправить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полученную информацию 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Комиссию по контролю </w:t>
      </w:r>
      <w:r w:rsidR="00152D0E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деятельности </w:t>
      </w:r>
      <w:r w:rsidR="00152D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просьб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учесть её при очередной проверке ВКД аудиторской организации, где два аудитора являются </w:t>
      </w:r>
      <w:r w:rsidR="00152D0E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сотрудниками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0D19" w:rsidRDefault="00A45A0B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По </w:t>
      </w:r>
      <w:r w:rsidR="00561759">
        <w:rPr>
          <w:color w:val="000000"/>
          <w:sz w:val="23"/>
          <w:szCs w:val="23"/>
        </w:rPr>
        <w:t>трём</w:t>
      </w:r>
      <w:r>
        <w:rPr>
          <w:color w:val="000000"/>
          <w:sz w:val="23"/>
          <w:szCs w:val="23"/>
        </w:rPr>
        <w:t xml:space="preserve"> аудитор</w:t>
      </w:r>
      <w:r w:rsidR="00561759">
        <w:rPr>
          <w:color w:val="000000"/>
          <w:sz w:val="23"/>
          <w:szCs w:val="23"/>
        </w:rPr>
        <w:t>ам</w:t>
      </w:r>
      <w:r>
        <w:rPr>
          <w:color w:val="000000"/>
          <w:sz w:val="23"/>
          <w:szCs w:val="23"/>
        </w:rPr>
        <w:t xml:space="preserve"> Комитет принял решение перенести обсуждение и </w:t>
      </w:r>
      <w:r w:rsidR="00C20D19" w:rsidRPr="00A567CC">
        <w:rPr>
          <w:color w:val="000000"/>
          <w:sz w:val="23"/>
          <w:szCs w:val="23"/>
        </w:rPr>
        <w:t xml:space="preserve">пригласить </w:t>
      </w:r>
      <w:r w:rsidR="00561759">
        <w:rPr>
          <w:color w:val="000000"/>
          <w:sz w:val="23"/>
          <w:szCs w:val="23"/>
        </w:rPr>
        <w:t>их</w:t>
      </w:r>
      <w:r>
        <w:rPr>
          <w:color w:val="000000"/>
          <w:sz w:val="23"/>
          <w:szCs w:val="23"/>
        </w:rPr>
        <w:t xml:space="preserve"> </w:t>
      </w:r>
      <w:r w:rsidR="00C20D19" w:rsidRPr="00A567CC">
        <w:rPr>
          <w:color w:val="000000"/>
          <w:sz w:val="23"/>
          <w:szCs w:val="23"/>
        </w:rPr>
        <w:t>на следующее заседание</w:t>
      </w:r>
      <w:r>
        <w:rPr>
          <w:color w:val="000000"/>
          <w:sz w:val="23"/>
          <w:szCs w:val="23"/>
        </w:rPr>
        <w:t xml:space="preserve"> Комитета</w:t>
      </w:r>
      <w:r w:rsidR="00C20D19" w:rsidRPr="00A567CC">
        <w:rPr>
          <w:color w:val="000000"/>
          <w:sz w:val="23"/>
          <w:szCs w:val="23"/>
        </w:rPr>
        <w:t>.</w:t>
      </w:r>
    </w:p>
    <w:p w:rsidR="00286C95" w:rsidRDefault="001071B3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о</w:t>
      </w:r>
      <w:r w:rsidR="00286C95">
        <w:rPr>
          <w:color w:val="000000"/>
          <w:sz w:val="23"/>
          <w:szCs w:val="23"/>
        </w:rPr>
        <w:t>д</w:t>
      </w:r>
      <w:r>
        <w:rPr>
          <w:color w:val="000000"/>
          <w:sz w:val="23"/>
          <w:szCs w:val="23"/>
        </w:rPr>
        <w:t xml:space="preserve">ному </w:t>
      </w:r>
      <w:r w:rsidRPr="001071B3">
        <w:rPr>
          <w:color w:val="000000"/>
          <w:sz w:val="23"/>
          <w:szCs w:val="23"/>
        </w:rPr>
        <w:t xml:space="preserve">аудитору </w:t>
      </w:r>
      <w:r w:rsidRPr="001071B3">
        <w:rPr>
          <w:color w:val="000000"/>
          <w:sz w:val="23"/>
          <w:szCs w:val="23"/>
        </w:rPr>
        <w:t xml:space="preserve">Комитет принял решение о </w:t>
      </w:r>
      <w:r w:rsidR="00286C95">
        <w:rPr>
          <w:color w:val="000000"/>
          <w:sz w:val="23"/>
          <w:szCs w:val="23"/>
        </w:rPr>
        <w:t>не</w:t>
      </w:r>
      <w:r w:rsidRPr="001071B3">
        <w:rPr>
          <w:color w:val="000000"/>
          <w:sz w:val="23"/>
          <w:szCs w:val="23"/>
        </w:rPr>
        <w:t xml:space="preserve">соответствии </w:t>
      </w:r>
      <w:r w:rsidR="00286C95">
        <w:rPr>
          <w:color w:val="000000"/>
          <w:sz w:val="23"/>
          <w:szCs w:val="23"/>
        </w:rPr>
        <w:t>его</w:t>
      </w:r>
      <w:r w:rsidRPr="001071B3">
        <w:rPr>
          <w:color w:val="000000"/>
          <w:sz w:val="23"/>
          <w:szCs w:val="23"/>
        </w:rPr>
        <w:t xml:space="preserve"> требованиям к членству в части наличия безупречной деловой репутации</w:t>
      </w:r>
    </w:p>
    <w:p w:rsidR="00286C95" w:rsidRDefault="00286C95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561759" w:rsidRDefault="00152D0E" w:rsidP="005617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четвёртому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вопросу выступила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Папуша О.В. 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пояснила, что порядок проведения Комитетом работы по оценке БДР на данный момент 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требует улучшения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при этом ожидается значительный объем работы. В целях организации эффективной работы по данной тематике необходимо выделить отдельное направление. Было 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решено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561759"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уководителем направления назначить Герасимову А.Р. Участие членов Комитета в рабочих группах для выработки решений по отдельным делам будет определяться Руководителем направления. Сбором информации, необходимой для оценки БДР, будет заниматься Аналитический центр СРО ААС под руководством Гришаева А.В. </w:t>
      </w:r>
    </w:p>
    <w:p w:rsidR="00561759" w:rsidRPr="00561759" w:rsidRDefault="00561759" w:rsidP="005617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Члены Комитета обсудили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также </w:t>
      </w:r>
      <w:r w:rsidRPr="005617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необходимость выделения места на сервере СРО ААС для хранения материалов Комитета.</w:t>
      </w:r>
    </w:p>
    <w:p w:rsidR="00561759" w:rsidRPr="00561759" w:rsidRDefault="00561759" w:rsidP="005617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20D19" w:rsidRPr="00A567CC" w:rsidRDefault="0056175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пятому вопросу в</w:t>
      </w:r>
      <w:r w:rsidR="00C20D19" w:rsidRPr="00A567CC">
        <w:rPr>
          <w:color w:val="000000"/>
          <w:sz w:val="23"/>
          <w:szCs w:val="23"/>
        </w:rPr>
        <w:t xml:space="preserve"> Комитет поступил запрос</w:t>
      </w:r>
      <w:r w:rsidR="00371AB0">
        <w:rPr>
          <w:color w:val="000000"/>
          <w:sz w:val="23"/>
          <w:szCs w:val="23"/>
        </w:rPr>
        <w:t xml:space="preserve"> о выдвижении одного из членов К</w:t>
      </w:r>
      <w:r w:rsidR="00C20D19" w:rsidRPr="00A567CC">
        <w:rPr>
          <w:color w:val="000000"/>
          <w:sz w:val="23"/>
          <w:szCs w:val="23"/>
        </w:rPr>
        <w:t xml:space="preserve">омитета в экспертный совет при Правлении СРО ААС по оценке применимости МСА на территории Российской Федерации. От Комитета была предложена кандидатура Надеждиной М.Э, но решение не было принято, по причине отсутствия </w:t>
      </w:r>
      <w:r w:rsidR="00371AB0">
        <w:rPr>
          <w:color w:val="000000"/>
          <w:sz w:val="23"/>
          <w:szCs w:val="23"/>
        </w:rPr>
        <w:t>её</w:t>
      </w:r>
      <w:r w:rsidR="00C20D19" w:rsidRPr="00A567CC">
        <w:rPr>
          <w:color w:val="000000"/>
          <w:sz w:val="23"/>
          <w:szCs w:val="23"/>
        </w:rPr>
        <w:t xml:space="preserve"> на заседании. Было решено данный вопрос перенести на следующее заседание.</w:t>
      </w:r>
    </w:p>
    <w:p w:rsidR="00561759" w:rsidRDefault="0056175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C20D19" w:rsidRPr="00A567CC" w:rsidRDefault="00561759" w:rsidP="00561759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шестому вопросу выступила Папуша О.В. и </w:t>
      </w:r>
      <w:r w:rsidR="00C20D19" w:rsidRPr="00A567CC">
        <w:rPr>
          <w:color w:val="000000"/>
          <w:sz w:val="23"/>
          <w:szCs w:val="23"/>
        </w:rPr>
        <w:t xml:space="preserve">сообщила, что для подготовки проекта документа «Порядок предотвращения и урегулирования конфликта интересов в Саморегулируемой организации аудиторов Ассоциации «Содружество» была создана рабочая группа, в состав которой вошли представители отдела по работе с жалобами, члены правового комитета, члены комиссии по контролю деятельности, члены КПЭН, </w:t>
      </w:r>
      <w:r w:rsidR="00152D0E" w:rsidRPr="00371AB0">
        <w:rPr>
          <w:color w:val="000000"/>
          <w:sz w:val="23"/>
          <w:szCs w:val="23"/>
        </w:rPr>
        <w:t>д</w:t>
      </w:r>
      <w:r w:rsidR="00152D0E" w:rsidRPr="00371AB0">
        <w:rPr>
          <w:color w:val="000000"/>
          <w:sz w:val="23"/>
          <w:szCs w:val="23"/>
        </w:rPr>
        <w:t>иректор по правовым вопросам СРО ААС</w:t>
      </w:r>
      <w:r w:rsidR="00C20D19" w:rsidRPr="00A567CC">
        <w:rPr>
          <w:color w:val="000000"/>
          <w:sz w:val="23"/>
          <w:szCs w:val="23"/>
        </w:rPr>
        <w:t>. Рабочая группа разработала необходимые изменения к существующему локальному нормативному акту СРО ААС «Правила предотвращения и урегулиро</w:t>
      </w:r>
      <w:bookmarkStart w:id="0" w:name="_GoBack"/>
      <w:bookmarkEnd w:id="0"/>
      <w:r w:rsidR="00C20D19" w:rsidRPr="00A567CC">
        <w:rPr>
          <w:color w:val="000000"/>
          <w:sz w:val="23"/>
          <w:szCs w:val="23"/>
        </w:rPr>
        <w:t xml:space="preserve">вания конфликта интересов в СРО ААС» и направила обновленный документ в Правление СРО ААС для рассмотрения и утверждения. </w:t>
      </w:r>
      <w:r w:rsidR="00152D0E">
        <w:rPr>
          <w:color w:val="000000"/>
          <w:sz w:val="23"/>
          <w:szCs w:val="23"/>
        </w:rPr>
        <w:t>Комитет р</w:t>
      </w:r>
      <w:r w:rsidR="00C20D19" w:rsidRPr="00A567CC">
        <w:rPr>
          <w:color w:val="000000"/>
          <w:sz w:val="23"/>
          <w:szCs w:val="23"/>
        </w:rPr>
        <w:t>ешил</w:t>
      </w:r>
      <w:r w:rsidR="00152D0E">
        <w:rPr>
          <w:color w:val="000000"/>
          <w:sz w:val="23"/>
          <w:szCs w:val="23"/>
        </w:rPr>
        <w:t xml:space="preserve"> у</w:t>
      </w:r>
      <w:r w:rsidR="00C20D19" w:rsidRPr="00A567CC">
        <w:rPr>
          <w:color w:val="000000"/>
          <w:sz w:val="23"/>
          <w:szCs w:val="23"/>
        </w:rPr>
        <w:t>твердить документ «Порядок предотвращения и урегулирования конфликта интересов в Саморегулируемой организации аудиторов Ассоциации «Содружество».</w:t>
      </w:r>
    </w:p>
    <w:p w:rsidR="00562469" w:rsidRPr="00D64D51" w:rsidRDefault="00562469" w:rsidP="0056175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sectPr w:rsidR="00562469" w:rsidRPr="00D64D51" w:rsidSect="009918D2">
      <w:footerReference w:type="default" r:id="rId10"/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29" w:rsidRDefault="002B0629" w:rsidP="00561759">
      <w:pPr>
        <w:spacing w:after="0" w:line="240" w:lineRule="auto"/>
      </w:pPr>
      <w:r>
        <w:separator/>
      </w:r>
    </w:p>
  </w:endnote>
  <w:endnote w:type="continuationSeparator" w:id="0">
    <w:p w:rsidR="002B0629" w:rsidRDefault="002B0629" w:rsidP="0056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59" w:rsidRPr="00561759" w:rsidRDefault="00561759">
    <w:pPr>
      <w:pStyle w:val="Footer"/>
      <w:jc w:val="center"/>
      <w:rPr>
        <w:caps/>
        <w:noProof/>
      </w:rPr>
    </w:pPr>
    <w:r w:rsidRPr="00561759">
      <w:rPr>
        <w:caps/>
      </w:rPr>
      <w:fldChar w:fldCharType="begin"/>
    </w:r>
    <w:r w:rsidRPr="00561759">
      <w:rPr>
        <w:caps/>
      </w:rPr>
      <w:instrText xml:space="preserve"> PAGE   \* MERGEFORMAT </w:instrText>
    </w:r>
    <w:r w:rsidRPr="00561759">
      <w:rPr>
        <w:caps/>
      </w:rPr>
      <w:fldChar w:fldCharType="separate"/>
    </w:r>
    <w:r w:rsidR="00371AB0">
      <w:rPr>
        <w:caps/>
        <w:noProof/>
      </w:rPr>
      <w:t>1</w:t>
    </w:r>
    <w:r w:rsidRPr="00561759">
      <w:rPr>
        <w:caps/>
        <w:noProof/>
      </w:rPr>
      <w:fldChar w:fldCharType="end"/>
    </w:r>
  </w:p>
  <w:p w:rsidR="00561759" w:rsidRDefault="0056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29" w:rsidRDefault="002B0629" w:rsidP="00561759">
      <w:pPr>
        <w:spacing w:after="0" w:line="240" w:lineRule="auto"/>
      </w:pPr>
      <w:r>
        <w:separator/>
      </w:r>
    </w:p>
  </w:footnote>
  <w:footnote w:type="continuationSeparator" w:id="0">
    <w:p w:rsidR="002B0629" w:rsidRDefault="002B0629" w:rsidP="0056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F2F"/>
    <w:multiLevelType w:val="hybridMultilevel"/>
    <w:tmpl w:val="22D8FAB8"/>
    <w:lvl w:ilvl="0" w:tplc="AF96BD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0E7F05"/>
    <w:multiLevelType w:val="hybridMultilevel"/>
    <w:tmpl w:val="21867C06"/>
    <w:lvl w:ilvl="0" w:tplc="5F40A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7A5"/>
    <w:multiLevelType w:val="hybridMultilevel"/>
    <w:tmpl w:val="236EB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5A3EBF"/>
    <w:multiLevelType w:val="hybridMultilevel"/>
    <w:tmpl w:val="7FB84D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F8647B"/>
    <w:multiLevelType w:val="multilevel"/>
    <w:tmpl w:val="11C2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7B289D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6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DE12AA"/>
    <w:multiLevelType w:val="hybridMultilevel"/>
    <w:tmpl w:val="DA3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708"/>
    <w:multiLevelType w:val="hybridMultilevel"/>
    <w:tmpl w:val="0A7EC1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CCD6AFE"/>
    <w:multiLevelType w:val="hybridMultilevel"/>
    <w:tmpl w:val="D02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B97"/>
    <w:multiLevelType w:val="hybridMultilevel"/>
    <w:tmpl w:val="6FC8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91B"/>
    <w:multiLevelType w:val="hybridMultilevel"/>
    <w:tmpl w:val="E8A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6AE"/>
    <w:multiLevelType w:val="multilevel"/>
    <w:tmpl w:val="A9709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505F"/>
    <w:multiLevelType w:val="hybridMultilevel"/>
    <w:tmpl w:val="450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662B"/>
    <w:multiLevelType w:val="hybridMultilevel"/>
    <w:tmpl w:val="76D8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55504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9" w15:restartNumberingAfterBreak="0">
    <w:nsid w:val="473C0B10"/>
    <w:multiLevelType w:val="hybridMultilevel"/>
    <w:tmpl w:val="3F7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070F1"/>
    <w:multiLevelType w:val="hybridMultilevel"/>
    <w:tmpl w:val="49827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DD69A7"/>
    <w:multiLevelType w:val="hybridMultilevel"/>
    <w:tmpl w:val="F0CE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7B4A"/>
    <w:multiLevelType w:val="hybridMultilevel"/>
    <w:tmpl w:val="4BA2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D2044"/>
    <w:multiLevelType w:val="hybridMultilevel"/>
    <w:tmpl w:val="FA0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20B90"/>
    <w:multiLevelType w:val="hybridMultilevel"/>
    <w:tmpl w:val="E86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6525"/>
    <w:multiLevelType w:val="hybridMultilevel"/>
    <w:tmpl w:val="F3F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2B5E"/>
    <w:multiLevelType w:val="hybridMultilevel"/>
    <w:tmpl w:val="1A08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B60A2"/>
    <w:multiLevelType w:val="hybridMultilevel"/>
    <w:tmpl w:val="DB88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0"/>
  </w:num>
  <w:num w:numId="5">
    <w:abstractNumId w:val="15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25"/>
  </w:num>
  <w:num w:numId="15">
    <w:abstractNumId w:val="24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9"/>
  </w:num>
  <w:num w:numId="21">
    <w:abstractNumId w:val="16"/>
  </w:num>
  <w:num w:numId="22">
    <w:abstractNumId w:val="3"/>
  </w:num>
  <w:num w:numId="23">
    <w:abstractNumId w:val="27"/>
  </w:num>
  <w:num w:numId="24">
    <w:abstractNumId w:val="21"/>
  </w:num>
  <w:num w:numId="25">
    <w:abstractNumId w:val="23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1071B3"/>
    <w:rsid w:val="00121DBA"/>
    <w:rsid w:val="001236A8"/>
    <w:rsid w:val="00152D0E"/>
    <w:rsid w:val="001A2CB3"/>
    <w:rsid w:val="00226576"/>
    <w:rsid w:val="00243EDD"/>
    <w:rsid w:val="00286C95"/>
    <w:rsid w:val="002B0629"/>
    <w:rsid w:val="002D242E"/>
    <w:rsid w:val="00346DA5"/>
    <w:rsid w:val="00363F28"/>
    <w:rsid w:val="00371AB0"/>
    <w:rsid w:val="004674C5"/>
    <w:rsid w:val="0050595C"/>
    <w:rsid w:val="00507CA9"/>
    <w:rsid w:val="00515224"/>
    <w:rsid w:val="0052562F"/>
    <w:rsid w:val="0052631C"/>
    <w:rsid w:val="00532AAE"/>
    <w:rsid w:val="00561759"/>
    <w:rsid w:val="00562469"/>
    <w:rsid w:val="00597507"/>
    <w:rsid w:val="005B3C9B"/>
    <w:rsid w:val="005E5D35"/>
    <w:rsid w:val="006972FE"/>
    <w:rsid w:val="006A06B3"/>
    <w:rsid w:val="007578D5"/>
    <w:rsid w:val="0076009C"/>
    <w:rsid w:val="007632EA"/>
    <w:rsid w:val="007B1645"/>
    <w:rsid w:val="008C5574"/>
    <w:rsid w:val="008C5DC9"/>
    <w:rsid w:val="008F1A73"/>
    <w:rsid w:val="00981BF2"/>
    <w:rsid w:val="009918D2"/>
    <w:rsid w:val="00A02544"/>
    <w:rsid w:val="00A45A0B"/>
    <w:rsid w:val="00A567CC"/>
    <w:rsid w:val="00A64408"/>
    <w:rsid w:val="00A87B5D"/>
    <w:rsid w:val="00AC4892"/>
    <w:rsid w:val="00B0240A"/>
    <w:rsid w:val="00B06E6C"/>
    <w:rsid w:val="00B65F08"/>
    <w:rsid w:val="00B80469"/>
    <w:rsid w:val="00BB7186"/>
    <w:rsid w:val="00C20D19"/>
    <w:rsid w:val="00C34978"/>
    <w:rsid w:val="00C559EC"/>
    <w:rsid w:val="00C61CBB"/>
    <w:rsid w:val="00C6268C"/>
    <w:rsid w:val="00C7523E"/>
    <w:rsid w:val="00CE05B5"/>
    <w:rsid w:val="00CE5F53"/>
    <w:rsid w:val="00CE6E93"/>
    <w:rsid w:val="00CF11EC"/>
    <w:rsid w:val="00D64D51"/>
    <w:rsid w:val="00D773D3"/>
    <w:rsid w:val="00DB17F5"/>
    <w:rsid w:val="00E11AE7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09C2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1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59"/>
  </w:style>
  <w:style w:type="paragraph" w:styleId="Footer">
    <w:name w:val="footer"/>
    <w:basedOn w:val="Normal"/>
    <w:link w:val="FooterChar"/>
    <w:uiPriority w:val="99"/>
    <w:unhideWhenUsed/>
    <w:rsid w:val="00561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2311-E0CC-4403-A557-3D827E6F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5</cp:revision>
  <cp:lastPrinted>2022-10-31T09:45:00Z</cp:lastPrinted>
  <dcterms:created xsi:type="dcterms:W3CDTF">2023-02-09T15:27:00Z</dcterms:created>
  <dcterms:modified xsi:type="dcterms:W3CDTF">2023-02-10T12:17:00Z</dcterms:modified>
</cp:coreProperties>
</file>