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736FD7" w:rsidRPr="004170AA" w:rsidRDefault="00736FD7" w:rsidP="0073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решением Совета </w:t>
      </w:r>
    </w:p>
    <w:p w:rsidR="00736FD7" w:rsidRPr="004170AA" w:rsidRDefault="00736FD7" w:rsidP="0073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аудиторской деятельности </w:t>
      </w:r>
    </w:p>
    <w:p w:rsidR="00736FD7" w:rsidRPr="004170AA" w:rsidRDefault="00736FD7" w:rsidP="00736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2020 г. (протокол № 52) 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8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10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 «Об аудиторской деятельности» (Собрание законодательства Российской Федерации, 2009, № 1, ст. 15; 2010, № 27, ст. 3420; 2014, № 49, </w:t>
      </w:r>
      <w:r w:rsidR="00A9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6912; 2017, № 18, ст. 2673) п р и к а з ы в а ю: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9" w:anchor="P29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Настоящий приказ вступает в силу с 1 января 2021 г.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EA" w:rsidRDefault="004408EA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EA" w:rsidRDefault="004408EA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ED" w:rsidRDefault="007479ED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ED" w:rsidRPr="00883B18" w:rsidRDefault="007479ED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2020 г.  № ___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применяется при осуществлении саморегулируемой организацией аудиторов и федеральным органом исполнительной власти, осуществляющим внешний контроль качества работы аудиторских организаций (далее - уполномоченный федеральный орган по контролю и надзору), внешнего контроля качества работы аудиторских организаций, индивидуальных аудиторов.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саморегулируемая организация</w:t>
      </w:r>
      <w:r w:rsidRPr="0088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 и уполномоченный федеральный орган по контролю и надзору именуются субъектами внешнего контроля качества работы аудиторских организаций, индивидуальных аудиторов.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Принципы осуществления внешнего контроля качества работы и требования к организации указанного контроля, установленные настоящим Положением, могут применяться саморегулируемой организацией аудиторов при определении в составе правил организации и осуществления внешнего контроля качества работы своих членов правил, относящихся к организации и осуществлению внешнего контроля качества работы членов - аудиторов, не являющихся индивидуальными аудиторами.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ВККР в отношении всех аудиторских организаций, индивидуальных аудиторов (далее - объект ВККР);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независимость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обеспеченность финансовыми, материальными и трудовыми ресурсами;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надлежащий уровень профессиональной компетентности работников, осуществляющих ВККР (далее - контролеры);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прозрачность процедуры назначения контролеров для проведения внешней проверки качества работы объекта ВККР (далее - внешняя проверка);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отчетность о состоянии и результатах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публичность результатов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обеспечение устранения проверенным объектом ВККР нарушений и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недостатков, выявленных по результатам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осуществлении ВККР контролер руководствуется требованиями независимости, профессиональной компетентности, должной тщательности.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состоит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являлся в проверяемый период и не является в период проведения контрольного мероприятия собственником, должностным лицом и (или) иным работником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был связан в проверяемый период и не связан в период проведения контрольного мероприятия гражданско-правовыми и финансовыми отношениями с объектом ВККР.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 должен принимать меры по предотвращению конфликта интересов между ним и проверяемым объектом ВККР при проведении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Профессиональная компетентность контролера состоит в том, что: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осуществлении ВККР он обладает необходимыми профессиональными знаниями в области аудиторской деятельности, бухгалтерского учета и навыками проведения внешних проверок;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он постоянно поддерживает указанные знания и навыки на должном уровне.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Должная тщательность контролера состоит в своевременном и точном исполнении им обязанностей, предусмотренных настоящим Положением, программой внешней проверки, а также соответствующими актами, регулирующими соответственно деятельность контролера при организации и осуществлении ВККР.</w:t>
      </w:r>
    </w:p>
    <w:p w:rsidR="00883B18" w:rsidRPr="00883B18" w:rsidRDefault="00883B18" w:rsidP="00883B18">
      <w:pPr>
        <w:widowControl w:val="0"/>
        <w:autoSpaceDE w:val="0"/>
        <w:autoSpaceDN w:val="0"/>
        <w:spacing w:before="2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организации ВККР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организации ВККР субъект ВККР должен обеспечить: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систематическое проведение внешних проверок объектов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необходимые полномочия контролеров;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контролеров и принятия решения по результатам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обучение контролеров методике проведения внешних проверок, контроль знаний и навыков контролеров;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информирование объекта ВККР о результатах внешних проверок;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применение мер дисциплинарного и иного воздействия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ВККР размещается субъектом ВККР на своем официальном сайте в информационно-телекоммуникационной сети «Интернет» не позднее 31 декабря года, предшествующего году проведения плановых проверок.</w:t>
      </w:r>
    </w:p>
    <w:p w:rsidR="00883B18" w:rsidRPr="00883B18" w:rsidRDefault="004408EA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83B18"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дата начала и срок проведения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 ВККР составляется на основе циклического подхода и (или) риск-ориентированного подхода.</w:t>
      </w:r>
    </w:p>
    <w:p w:rsidR="00883B18" w:rsidRPr="00883B18" w:rsidRDefault="00883B18" w:rsidP="00883B18">
      <w:pPr>
        <w:spacing w:after="1" w:line="280" w:lineRule="atLeast"/>
        <w:ind w:firstLine="540"/>
        <w:jc w:val="both"/>
      </w:pPr>
      <w:r w:rsidRPr="00883B18">
        <w:rPr>
          <w:rFonts w:ascii="Times New Roman" w:hAnsi="Times New Roman" w:cs="Times New Roman"/>
          <w:sz w:val="28"/>
          <w:szCs w:val="28"/>
        </w:rPr>
        <w:t xml:space="preserve">13. Циклический подход предполагает установление на основе требований Федерального </w:t>
      </w:r>
      <w:hyperlink r:id="rId10" w:history="1">
        <w:r w:rsidRPr="00883B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83B18">
        <w:rPr>
          <w:rFonts w:ascii="Times New Roman" w:hAnsi="Times New Roman" w:cs="Times New Roman"/>
          <w:sz w:val="28"/>
          <w:szCs w:val="28"/>
        </w:rPr>
        <w:t xml:space="preserve"> от 30 декабря 2008 г. № 307-ФЗ «Об аудиторской деятельности» (Собрание законодательства Российской Федерации, </w:t>
      </w:r>
      <w:r w:rsidRPr="00883B18">
        <w:rPr>
          <w:rFonts w:ascii="Times New Roman" w:hAnsi="Times New Roman" w:cs="Times New Roman"/>
          <w:sz w:val="28"/>
        </w:rPr>
        <w:t xml:space="preserve">2009, </w:t>
      </w:r>
      <w:r w:rsidRPr="00883B18">
        <w:rPr>
          <w:rFonts w:ascii="Times New Roman" w:hAnsi="Times New Roman" w:cs="Times New Roman"/>
          <w:sz w:val="28"/>
          <w:szCs w:val="28"/>
        </w:rPr>
        <w:t xml:space="preserve">2009, </w:t>
      </w:r>
      <w:r w:rsidR="004408EA">
        <w:rPr>
          <w:rFonts w:ascii="Times New Roman" w:hAnsi="Times New Roman" w:cs="Times New Roman"/>
          <w:sz w:val="28"/>
          <w:szCs w:val="28"/>
        </w:rPr>
        <w:t xml:space="preserve"> </w:t>
      </w:r>
      <w:r w:rsidRPr="00883B18">
        <w:rPr>
          <w:rFonts w:ascii="Times New Roman" w:hAnsi="Times New Roman" w:cs="Times New Roman"/>
          <w:sz w:val="28"/>
          <w:szCs w:val="28"/>
        </w:rPr>
        <w:t>№ 1, ст. 15; 2010, № 27, ст. 3420; № 51, ст. 6810; 2011, № 1, ст. 12; № 19, ст. 2716; № 27, ст. 3880; № 29, ст. 4291; № 48, ст. 6728; 2013, № 27, ст. 3477; № 30, ст. 4084; № 52, ст. 6961; 2014, № 10, ст. 954; № 49, ст. 6912; 2016, № 27, ст. 4169, 4195, 4293; 2017, № 18, ст. 2673; 2018, № 1, ст. 65; № 18, ст. 2582; 2019, № 48, ст. 6739) (далее - Федеральный закон «Об аудиторской деятельности»)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 устанавливаться разная периодичность проведения внешних проверок.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Риск-ориентированный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количество клиентов объекта ВККР, ценные бумаги которых допущены к организованным торгам;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иных клиентов объекта ВККР, которые считаются общественно значимыми;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требования независимости аудиторов и аудиторских организаций, несоблюдение требования обучения по программам повышения квалификации аудиторов.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риск-ориентированного подхода субъект ВККР должен обеспечить установленную Федеральным </w:t>
      </w:r>
      <w:hyperlink r:id="rId11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 периодичность проведения внешних проверок каждого объекта ВККР.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Осуществление ВККР подлежит систематическому мониторингу.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Предметом мониторинга осуществления ВККР является соблюдение Федерального </w:t>
      </w:r>
      <w:hyperlink r:id="rId12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настоящего Положения, соответствующих актов, регулирующих организацию и осуществление ВККР, а также исполнение плана ВККР.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Субъект ВККР обеспечивает систематическое (за квартал, полугодие или год) обобщение результатов мониторинга осуществления ВККР.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Результаты ВККР обобщаются субъектом ВККР в годовом отчете о состоянии ВККР. Годовой отчет о состоянии ВККР размещается субъектом ВККР на своем официальном сайте в информационно-телекоммуникационной сети «Интернет» не позднее 31 марта года, следующего за отчетным. 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состоянии ВККР может включать результаты внешних проверок, раскрывающие информацию о конкретных объектах ВККР или их клиентах, за исключением случаев, когда раскрытие такой информации запрещено или ограничено законодательством Российской Федерации.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Субъект ВККР должен установить критерии оценки результативности ВККР в целом, а также работы контролеров.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случае, когда внешнюю проверку проводит группа контролеров, эту группу возглавляет ее руководитель, назначенный субъектом ВККР.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контролеров организует внешнюю проверку, осуществляет сам и организует контроль за работой контролеров, входящих в группу, и результатами внешней проверки, информирует о результатах внешней проверки объект ВККР, осуществляет сам и организует взаимодействие группы контролеров с объектом ВККР, подписывает отчет (акт) о внешней проверке.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Группа контролеров должна включать количество контролеров, обеспечивающее проведение внешней проверки в установленные сроки.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подготовке внешней проверки: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осуществляется сбор информации об объекте ВККР, необходимой для организации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определяется объем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рассматривается в предварительном порядке общий подход к проведению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определяются этапы проведения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определяются требования к контролерам, необходимые для проведения внешней проверки, формируется группа контролеров, и распределяются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между членами этой группы;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составляется программа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информируется объект ВККР о дате начала и сроках проведения, проверяемом периоде, предмете и объеме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Объем внешней проверки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Программа внешней проверки составляется и утверждается до начала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Программа внешней проверки должна быть построена таким образом, чтобы контролеры были уверены в том, что: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 ВККР имеет надлежащую организацию внутреннего контроля качества работы;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 ВККР выполняет все требования внутреннего контроля качества работы;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объект ВККР и его аудиторы соблюдали Федеральный </w:t>
      </w:r>
      <w:hyperlink r:id="rId13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стандарты аудиторской деятельности, </w:t>
      </w:r>
      <w:hyperlink r:id="rId14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аудиторов, </w:t>
      </w:r>
      <w:hyperlink r:id="rId15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аудиторов и аудиторских организаций;</w:t>
      </w:r>
    </w:p>
    <w:p w:rsidR="00883B18" w:rsidRPr="00883B18" w:rsidRDefault="00883B18" w:rsidP="00883B18">
      <w:pPr>
        <w:spacing w:after="1" w:line="280" w:lineRule="atLeast"/>
        <w:ind w:firstLine="540"/>
        <w:jc w:val="both"/>
      </w:pPr>
      <w:r w:rsidRPr="00883B18">
        <w:rPr>
          <w:rFonts w:ascii="Times New Roman" w:hAnsi="Times New Roman" w:cs="Times New Roman"/>
          <w:sz w:val="28"/>
          <w:szCs w:val="28"/>
        </w:rPr>
        <w:t>г) объект ВККР соблюдал требования по противодействию коррупции, противодействию легализации (отмыванию) доходов, полученных преступным путем, финансированию терроризма</w:t>
      </w:r>
      <w:r w:rsidRPr="0088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B18">
        <w:rPr>
          <w:rFonts w:ascii="Times New Roman" w:hAnsi="Times New Roman" w:cs="Times New Roman"/>
          <w:sz w:val="28"/>
          <w:szCs w:val="28"/>
        </w:rPr>
        <w:t xml:space="preserve">и распространению оружия массового уничтожения при оказании юридических, бухгалтерских или аудиторских услуг в случаях, предусмотренных Федеральным </w:t>
      </w:r>
      <w:hyperlink r:id="rId16" w:history="1">
        <w:r w:rsidRPr="00883B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3B18">
        <w:rPr>
          <w:rFonts w:ascii="Times New Roman" w:hAnsi="Times New Roman" w:cs="Times New Roman"/>
          <w:sz w:val="28"/>
          <w:szCs w:val="28"/>
        </w:rPr>
        <w:t xml:space="preserve"> от          7 августа 2001 г. № 115-ФЗ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 33, ст. 3418; 2002, № 30, ст. 3029; № 44, ст. 4296; 2004; № 31, ст. 3224; 2005, № 47, ст. 4828; 2006, № 31, ст. 3446, 3452; 2007, № 16, ст. 1831; № 31, ст. 3993, 4011; № 49,   ст. 6036; 2009, № 23, ст. 2776; № 29, </w:t>
      </w:r>
      <w:r w:rsidR="004408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3B18">
        <w:rPr>
          <w:rFonts w:ascii="Times New Roman" w:hAnsi="Times New Roman" w:cs="Times New Roman"/>
          <w:sz w:val="28"/>
          <w:szCs w:val="28"/>
        </w:rPr>
        <w:t xml:space="preserve">ст. 3600; 2010, № 28, ст. 3553; № 30, ст. 4007; № 31, ст. 4166; 2011, № 27, ст. 3873; </w:t>
      </w:r>
      <w:r w:rsidR="004408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B18">
        <w:rPr>
          <w:rFonts w:ascii="Times New Roman" w:hAnsi="Times New Roman" w:cs="Times New Roman"/>
          <w:sz w:val="28"/>
          <w:szCs w:val="28"/>
        </w:rPr>
        <w:t xml:space="preserve">№ 46, ст. 6406; 2012, № 30, ст. 4172; № 50, ст. 6954; 2013, № 19, ст. 2329, № 26, </w:t>
      </w:r>
      <w:r w:rsidR="004408EA">
        <w:rPr>
          <w:rFonts w:ascii="Times New Roman" w:hAnsi="Times New Roman" w:cs="Times New Roman"/>
          <w:sz w:val="28"/>
          <w:szCs w:val="28"/>
        </w:rPr>
        <w:t xml:space="preserve"> </w:t>
      </w:r>
      <w:r w:rsidRPr="00883B18">
        <w:rPr>
          <w:rFonts w:ascii="Times New Roman" w:hAnsi="Times New Roman" w:cs="Times New Roman"/>
          <w:sz w:val="28"/>
          <w:szCs w:val="28"/>
        </w:rPr>
        <w:t xml:space="preserve">ст. 3207; № 44, ст. 5641;  № 52, ст. 6968; 2014, № 19, ст. 2311, 2315, 2335; № 23, </w:t>
      </w:r>
      <w:r w:rsidR="004408EA">
        <w:rPr>
          <w:rFonts w:ascii="Times New Roman" w:hAnsi="Times New Roman" w:cs="Times New Roman"/>
          <w:sz w:val="28"/>
          <w:szCs w:val="28"/>
        </w:rPr>
        <w:t xml:space="preserve"> </w:t>
      </w:r>
      <w:r w:rsidRPr="00883B18">
        <w:rPr>
          <w:rFonts w:ascii="Times New Roman" w:hAnsi="Times New Roman" w:cs="Times New Roman"/>
          <w:sz w:val="28"/>
          <w:szCs w:val="28"/>
        </w:rPr>
        <w:t xml:space="preserve">ст. 2934; № 30, ст. 4214, 4219; 2015, № 1, ст. 14, 37; 58; № 18, ст. 2614; № 24, </w:t>
      </w:r>
      <w:r w:rsidR="00440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3B18">
        <w:rPr>
          <w:rFonts w:ascii="Times New Roman" w:hAnsi="Times New Roman" w:cs="Times New Roman"/>
          <w:sz w:val="28"/>
          <w:szCs w:val="28"/>
        </w:rPr>
        <w:t xml:space="preserve">ст. 3367; № 27, ст. 3945, 3950, 4001; 2016, № 1, ст. 11, 23, 27, 43, 44; № 26, </w:t>
      </w:r>
      <w:r w:rsidR="004408EA">
        <w:rPr>
          <w:rFonts w:ascii="Times New Roman" w:hAnsi="Times New Roman" w:cs="Times New Roman"/>
          <w:sz w:val="28"/>
          <w:szCs w:val="28"/>
        </w:rPr>
        <w:t xml:space="preserve">                   ст. 3860, 3884, 4196, 4221; </w:t>
      </w:r>
      <w:r w:rsidRPr="00883B18">
        <w:rPr>
          <w:rFonts w:ascii="Times New Roman" w:hAnsi="Times New Roman" w:cs="Times New Roman"/>
          <w:sz w:val="28"/>
          <w:szCs w:val="28"/>
        </w:rPr>
        <w:t>№ 28, ст. 4558; № 1, ст. 12, 46; 2017, № 31, ст. 4816, 4830; № 1, ст. 54, 66; 2018, № 17, ст. 2418; № 18, ст. 2560, 2576, 2582</w:t>
      </w:r>
      <w:r w:rsidR="004408EA">
        <w:rPr>
          <w:rFonts w:ascii="Times New Roman" w:hAnsi="Times New Roman" w:cs="Times New Roman"/>
          <w:sz w:val="28"/>
          <w:szCs w:val="28"/>
        </w:rPr>
        <w:t xml:space="preserve">; № 53, </w:t>
      </w:r>
      <w:r w:rsidR="00A973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8EA">
        <w:rPr>
          <w:rFonts w:ascii="Times New Roman" w:hAnsi="Times New Roman" w:cs="Times New Roman"/>
          <w:sz w:val="28"/>
          <w:szCs w:val="28"/>
        </w:rPr>
        <w:t xml:space="preserve">ст. 8491; 2019, № 12, </w:t>
      </w:r>
      <w:r w:rsidRPr="00883B18">
        <w:rPr>
          <w:rFonts w:ascii="Times New Roman" w:hAnsi="Times New Roman" w:cs="Times New Roman"/>
          <w:sz w:val="28"/>
          <w:szCs w:val="28"/>
        </w:rPr>
        <w:t xml:space="preserve">ст. 1222; ст. 1223; № 27, ст. 3534; ст. 3538; № 30; ст. 4152; </w:t>
      </w:r>
      <w:r w:rsidR="00A973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B18">
        <w:rPr>
          <w:rFonts w:ascii="Times New Roman" w:hAnsi="Times New Roman" w:cs="Times New Roman"/>
          <w:sz w:val="28"/>
          <w:szCs w:val="28"/>
        </w:rPr>
        <w:t xml:space="preserve">№ 31, ст. 4418; ст. 4430; </w:t>
      </w:r>
      <w:r w:rsidRPr="00883B18">
        <w:rPr>
          <w:rFonts w:ascii="Times New Roman" w:hAnsi="Times New Roman" w:cs="Times New Roman"/>
          <w:sz w:val="28"/>
        </w:rPr>
        <w:t>№ 49, ст. 6953; № 51, ст.7490)</w:t>
      </w:r>
      <w:r w:rsidRPr="00883B18">
        <w:rPr>
          <w:rFonts w:ascii="Times New Roman" w:hAnsi="Times New Roman" w:cs="Times New Roman"/>
          <w:sz w:val="28"/>
          <w:szCs w:val="28"/>
        </w:rPr>
        <w:t xml:space="preserve">, а также обязанности по информированию учредителей (участников) аудируемого лица или их представителей либо его руководителя о ставших ему известными случаях коррупционных правонарушений аудируемого лица, в том числе о случаях подкупа иностранных должностных лиц, случаях иных нарушений законодательства </w:t>
      </w:r>
      <w:r w:rsidRPr="00883B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либо признаках таких случаев, либо риске возникновения таких случаев.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ходе внешней проверки осуществляются: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0"/>
      <w:bookmarkEnd w:id="1"/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правил внутреннего контроля качества работы объекта ВККР;</w:t>
      </w:r>
    </w:p>
    <w:p w:rsidR="00883B18" w:rsidRPr="00883B18" w:rsidRDefault="00A97392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3B18"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эффективности организации внутреннего контроля качества работы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оценка достоверности последней по времени отчетности объекта ВККР об аудиторской деятельности исходя из результатов действий, предусмотренных </w:t>
      </w:r>
      <w:hyperlink w:anchor="P110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«а»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11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соблюдение объектом ВККР Федерального </w:t>
      </w:r>
      <w:hyperlink r:id="rId17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стандартов аудиторской деятельности, </w:t>
      </w:r>
      <w:hyperlink r:id="rId18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аудиторов, </w:t>
      </w:r>
      <w:hyperlink r:id="rId19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аудиторов и аудиторских организаций;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численность и профессиональный уровень аудиторов объекта ВККР, а также соблюдение аудиторами требования обучения по программам повышения квалификации;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соблюдение требований, установленных </w:t>
      </w:r>
      <w:hyperlink r:id="rId20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аудиторской деятельности»,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аудируемому лицу прочих услуг.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аудиторское задание).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проверка проводится в отношении аудиторских заданий, отобранных на основе анализа риска ненадлежащего проведения аудита. Для рассмотрения в ходе внешней проверки отбираются, как правило, завершенные в проверяемый период аудиторские задания.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Проверка рабочей документации аудитора в отношении конкретных аудиторских заданий должна предусматривать оценку: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Федерального </w:t>
      </w:r>
      <w:hyperlink r:id="rId21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стандартов аудиторской деятельности, </w:t>
      </w:r>
      <w:hyperlink r:id="rId22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аудиторов, </w:t>
      </w:r>
      <w:hyperlink r:id="rId23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аудиторов и аудиторских организаций;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достаточности, надлежащего характера, надежности аудиторских доказательств, содержащихся в рабочей документации аудитора;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обоснованности аудиторского заключения с учетом обстоятельств выполнения аудиторского задания.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 Наблюдению в ходе внешней проверки подлежит: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работа каждого контролера независимо от занимаемой должности, квалификации и опыта;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работа, выполняемая на каждом этапе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Наблюдение в ходе внешней проверки осуществляется по мере проведения этой проверки до составления отчета (акта) о внешней проверке.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ходе наблюдения должна быть получена достаточная уверенность в том, что: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контролеры имеют единое четкое понимание программы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внешняя проверка проводится в соответствии с Федеральным </w:t>
      </w:r>
      <w:hyperlink r:id="rId24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настоящим Положением, а также соответствующими актами, регулирующими соответственно деятельность контролера при организации и осуществлении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программа внешней проверки исполняется;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группы контролеров и (или) более опытных контролеров;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достигается цель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отчет (акт) о внешней проверке надлежащим образом отражает результаты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проведении внешней проверки должны быть получены доказательства, подтверждающие результаты этой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доказательствам относятся описание системы внутреннего контроля качества работы объекта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достоверных источников.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Доказательства получают в результате следующих процедур контроля: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получения информации о: характере и масштабах аудиторской деятельности объекта ВККР и применяемых им формах и методах проведения аудита; системе внутреннего контроля качества работы; процедурах соблюдения норм профессиональной этики и независимости аудиторов и аудиторских организаций; процедурах обучения по программам повышения квалификации аудиторов;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проверки соблюдения правил внутреннего контроля качества выполнения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конкретных аудиторских заданий;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обсуждения результатов работы контролеров, а также отчета (акта) о внешней проверке с представителями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проведения иных процедур контроля.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Проведение внешней проверки подлежит документированию.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Рабочая документация (рабочие документы), включающая документы и иные материалы,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рабочих документах должно быть отражено обоснование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документы должно быть включено описание всех существенных фактов, известных контролеру на момент формирования такого мнения.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44. Рабочие документы должны составляться с такой степенью полноты и подробности, которая необходима и достаточна для обеспечения понимания проведенной внешней проверки и ее результатов.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46. Форма и содержание рабочих документов определяются контролером с учетом следующих факторов: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и объема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к отчету (акту) о внешней проверке;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масштаба, характера и сложности деятельности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доказательности отдельных документов;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системы внутреннего контроля качества работы объекта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указаний членам группы контролеров и осуществления наблюдения за ними;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контроля, применяемых при проведении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При включении в рабочую документацию документов и иных материалов, 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Рабочая документация по каждой внешней проверке должна включать: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отражающие подготовку внешней проверки, включая программу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проведения и объеме внешней проверки, а также ее результатах;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выполнении отдельных процедур контроля с указанием исполнителей и времени выполнения;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объекта ВККР, в том числе подтверждающие выявленные нарушения и недостатки;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заявления, полученные от должностных лиц и иных работников объектов ВККР;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обращений, направленных другим субъектам ВККР, экспертам, третьим лицам, и полученные от них сведения;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подтверждающие, что работа, выполненная контролерами, осуществлялась под наблюдением руководителя группы контролеров и (или) более опытных контролеров.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Для подготовки и проведения внешней проверки могут применяться утвержденные субъектом ВККР формы рабочей документации (вопросники, типовые письма, обращения), а также единая структура систематизации рабочих документов.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51. Субъект ВККР устанавливает надлежащие процедуры обеспечения конфиденциальности рабочих документов.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52. Рабочая документация, а также отчеты о внешней проверке комплектуются, учитываются и хранятся субъектом ВККР в установленном им порядке.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рабочей документации после завершения внешней проверки устанавливается субъектом ВККР таким образом, чтобы субъект ВККР и орган, осуществляющий государственный контроль (надзор) за деятельностью саморегулируемой организации аудиторов, могли осуществлять контроль за проведением внешних проверок.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53. Результаты внешней проверки подлежат оформлению в письменном виде отчетом (актом).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Отчет (акт) должен содержать, в частности: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субъекте ВККР </w:t>
      </w:r>
      <w:r w:rsidRPr="0088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аудиторов;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объекте ВККР: наименование, номер в реестре аудиторов и аудиторских организаций саморегулируемой организации аудиторов;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 проведения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описание предмета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описание объема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указание на то, в соответствии с какими требованиями (стандартами, правилами, иными документами) проводилась внешняя проверка;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описание подтвержденных доказательствами результатов внешней проверки;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заключение о соблюдении объектом ВККР требований Федерального </w:t>
      </w:r>
      <w:hyperlink r:id="rId25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аудиторской деятельности», стандартов аудиторской деятельности, </w:t>
      </w:r>
      <w:hyperlink r:id="rId26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аудиторов, </w:t>
      </w:r>
      <w:hyperlink r:id="rId27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независимости аудиторов и аудиторских организаций (качестве работы объекта ВККР), включая заключение о соблюдении объектом ВККР установленных требований к внутреннему контролю качества работы;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подпись руководителя группы контролеров либо контролеров;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л) дату подписания отчета (акта).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акта для уполномоченного федерального органа по контролю и надзору утверждены Федеральным </w:t>
      </w:r>
      <w:hyperlink r:id="rId28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2009, № 18, ст. 2140; № 29,  ст. 3601; № 48, ст. 5711; № 52, ст. 6441; 2010, № 17, ст. 1988; № 18, ст. 2142;  № 31, ст. 4160, 4193, 4196; № 32, </w:t>
      </w:r>
      <w:r w:rsidR="0044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4298; 2011, № 1, ст. 20;  № 17, ст. 2310;   № 23, ст. 3263; № 27, ст. 3880; № 30, ст. 4590; № 48, ст. 6728; 2012, № 19, ст. 2281; № 26, ст. 3446; № 31, ст. 4320, 4322; № 47, ст. 6402; 2013, № 9, ст. 874; № 27, ст. 3477; № 30, ст. 4041; № 44, ст. 5633; № 48, ст. 6165; № 49, ст. 6338; № 52, ст. 6961, 6979, 6981; 2014, № 11, ст. 1092, 1098; № 26, ст. 3366; № 30,   ст. 4220, 4235, 4243, 4256; № 42, ст. 5615; № 48, </w:t>
      </w:r>
      <w:r w:rsidR="0044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6659; 2015, № 1, ст. 53, 64, 72, 85; № 14, ст. 2022; № 18, ст. 2614; № 27, </w:t>
      </w:r>
      <w:r w:rsidR="0044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3950; № 29, ст. 4339, 4362, 4372, 4389; № 48, ст. 6707; 2016, № 11, ст. 1495; </w:t>
      </w:r>
      <w:r w:rsidR="00A9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18, ст. 2503; № 27, ст. 4160, ст. 4164, ст. 4187, 4194, 4210, 4287; № 50, ст. 6975; 2017, № 9, ст. 1276; № 18, ст. 2673; № 31, ст. 4742; № 45, ст. 6582; № 49, ст. 7304; 2018, № 1, ст. 26, 27;  № 17, ст. 2430; № 18, ст. 2564; № 31, ст. 4834; № 32, </w:t>
      </w:r>
      <w:r w:rsidR="00A9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5109, 5114, 5116; № 45, ст. 6841; № 53, ст. 8406, 8437; 2019, № 12, ст. 1231; № 16, ст. 1817; № 23, ст. 2905; ст. 2913; № 31, ст. 4415; ст. 4469).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При осуществлении ВККР саморегулируемой организацией аудиторов форма отчета (акта), а также допустимые виды заключения о качестве работы объекта ВККР в нем (положительное заключение, заключение с оговоркой др.) устанавливаются саморегулируемой организацией аудиторов.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ВККР уполномоченным федеральным органом по контролю и надзору составляется акт по </w:t>
      </w:r>
      <w:hyperlink r:id="rId29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 мая 2009 г., регистрационный № 13915, Российская газета, 14 мая 2009 г., № 85) с изменениями, внесенными приказами Министерства экономического развития Российской Федерации от 24 мая 2010 г. № 199 (зарегистрирован Министерством юстиции Российской Федерации 6 июля 2010 г., регистрационный № 17702, Российская газета, 16 июля 2010 г., № 156), от 30 сентября 2011 г. № 532 (зарегистрирован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юстиции Российской Федерации 10 ноября 2011 г., регистрационный № 22264, Российская газета, 18 ноября 2011 г., № 260) и от 30 сентября 2016 г. № 620, Официальный интернет-портал правовой информации (</w:t>
      </w:r>
      <w:hyperlink r:id="rId30" w:history="1">
        <w:r w:rsidRPr="00883B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83B1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4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2016 г.).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При составлении отчета (акта) должна быть обеспечена объективность, обоснованность, системность, четкость и лаконичность (без ущерба для содержания) изложения.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57. Отчет (акт) должен быть составлен не ранее завершения всех процедур контроля, предусмотренных программой внешней проверки.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Отчет (акт) направляется объекту ВККР. Объект ВККР может представить субъекту ВККР письменные возражения на отчет (акт).</w:t>
      </w:r>
    </w:p>
    <w:p w:rsidR="00883B18" w:rsidRPr="00883B18" w:rsidRDefault="00883B18" w:rsidP="00883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ВККР должен рассмотреть письменные возражения объекта ВККР на отчет (акт) и принять соответствующие решения.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действий.</w:t>
      </w:r>
      <w:bookmarkStart w:id="3" w:name="_GoBack"/>
      <w:bookmarkEnd w:id="3"/>
    </w:p>
    <w:sectPr w:rsidR="00883B18" w:rsidRPr="00883B18" w:rsidSect="007479ED">
      <w:headerReference w:type="default" r:id="rId31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2C" w:rsidRDefault="003D7A2C" w:rsidP="00260885">
      <w:pPr>
        <w:spacing w:after="0" w:line="240" w:lineRule="auto"/>
      </w:pPr>
      <w:r>
        <w:separator/>
      </w:r>
    </w:p>
  </w:endnote>
  <w:endnote w:type="continuationSeparator" w:id="0">
    <w:p w:rsidR="003D7A2C" w:rsidRDefault="003D7A2C" w:rsidP="002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2C" w:rsidRDefault="003D7A2C" w:rsidP="00260885">
      <w:pPr>
        <w:spacing w:after="0" w:line="240" w:lineRule="auto"/>
      </w:pPr>
      <w:r>
        <w:separator/>
      </w:r>
    </w:p>
  </w:footnote>
  <w:footnote w:type="continuationSeparator" w:id="0">
    <w:p w:rsidR="003D7A2C" w:rsidRDefault="003D7A2C" w:rsidP="0026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9805"/>
      <w:docPartObj>
        <w:docPartGallery w:val="Page Numbers (Top of Page)"/>
        <w:docPartUnique/>
      </w:docPartObj>
    </w:sdtPr>
    <w:sdtEndPr/>
    <w:sdtContent>
      <w:p w:rsidR="007530EB" w:rsidRDefault="007530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ED">
          <w:rPr>
            <w:noProof/>
          </w:rPr>
          <w:t>1</w:t>
        </w:r>
        <w:r>
          <w:fldChar w:fldCharType="end"/>
        </w:r>
      </w:p>
    </w:sdtContent>
  </w:sdt>
  <w:p w:rsidR="007530EB" w:rsidRDefault="007530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 w15:restartNumberingAfterBreak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6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56874"/>
    <w:multiLevelType w:val="hybridMultilevel"/>
    <w:tmpl w:val="F6E8E88E"/>
    <w:lvl w:ilvl="0" w:tplc="BFFCD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2F64"/>
    <w:multiLevelType w:val="hybridMultilevel"/>
    <w:tmpl w:val="24D8F93C"/>
    <w:lvl w:ilvl="0" w:tplc="1D161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F54DC7"/>
    <w:multiLevelType w:val="hybridMultilevel"/>
    <w:tmpl w:val="9614E132"/>
    <w:lvl w:ilvl="0" w:tplc="D54E8E4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1DC549F1"/>
    <w:multiLevelType w:val="hybridMultilevel"/>
    <w:tmpl w:val="EAF4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C4D3148"/>
    <w:multiLevelType w:val="hybridMultilevel"/>
    <w:tmpl w:val="B2363D14"/>
    <w:lvl w:ilvl="0" w:tplc="C7E8A8FE">
      <w:start w:val="1"/>
      <w:numFmt w:val="decimal"/>
      <w:lvlText w:val="%1."/>
      <w:lvlJc w:val="left"/>
      <w:pPr>
        <w:ind w:left="831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810A5C"/>
    <w:multiLevelType w:val="singleLevel"/>
    <w:tmpl w:val="21A64C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3F84783E"/>
    <w:multiLevelType w:val="hybridMultilevel"/>
    <w:tmpl w:val="52760D36"/>
    <w:lvl w:ilvl="0" w:tplc="CF7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55638E"/>
    <w:multiLevelType w:val="hybridMultilevel"/>
    <w:tmpl w:val="F9CA7A12"/>
    <w:lvl w:ilvl="0" w:tplc="D1F063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9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62050E2"/>
    <w:multiLevelType w:val="multilevel"/>
    <w:tmpl w:val="5A443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C63163"/>
    <w:multiLevelType w:val="hybridMultilevel"/>
    <w:tmpl w:val="CAFCE228"/>
    <w:lvl w:ilvl="0" w:tplc="DDA2456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6621C"/>
    <w:multiLevelType w:val="multilevel"/>
    <w:tmpl w:val="1682EFEE"/>
    <w:lvl w:ilvl="0">
      <w:start w:val="1"/>
      <w:numFmt w:val="decimal"/>
      <w:lvlText w:val="%1"/>
      <w:lvlJc w:val="left"/>
      <w:pPr>
        <w:ind w:left="504" w:hanging="504"/>
      </w:pPr>
    </w:lvl>
    <w:lvl w:ilvl="1">
      <w:start w:val="34"/>
      <w:numFmt w:val="decimal"/>
      <w:lvlText w:val="%1.%2"/>
      <w:lvlJc w:val="left"/>
      <w:pPr>
        <w:ind w:left="1598" w:hanging="504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362" w:hanging="108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910" w:hanging="144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458" w:hanging="180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35" w15:restartNumberingAfterBreak="0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 w15:restartNumberingAfterBreak="0">
    <w:nsid w:val="6EA50283"/>
    <w:multiLevelType w:val="hybridMultilevel"/>
    <w:tmpl w:val="FA6E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24"/>
  </w:num>
  <w:num w:numId="5">
    <w:abstractNumId w:val="19"/>
  </w:num>
  <w:num w:numId="6">
    <w:abstractNumId w:val="32"/>
  </w:num>
  <w:num w:numId="7">
    <w:abstractNumId w:val="31"/>
  </w:num>
  <w:num w:numId="8">
    <w:abstractNumId w:val="22"/>
  </w:num>
  <w:num w:numId="9">
    <w:abstractNumId w:val="15"/>
  </w:num>
  <w:num w:numId="10">
    <w:abstractNumId w:val="12"/>
  </w:num>
  <w:num w:numId="11">
    <w:abstractNumId w:val="40"/>
  </w:num>
  <w:num w:numId="12">
    <w:abstractNumId w:val="5"/>
  </w:num>
  <w:num w:numId="13">
    <w:abstractNumId w:val="36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4"/>
    <w:lvlOverride w:ilvl="0">
      <w:startOverride w:val="1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38"/>
  </w:num>
  <w:num w:numId="21">
    <w:abstractNumId w:val="26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9"/>
    <w:lvlOverride w:ilvl="0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7"/>
  </w:num>
  <w:num w:numId="33">
    <w:abstractNumId w:val="25"/>
  </w:num>
  <w:num w:numId="34">
    <w:abstractNumId w:val="18"/>
  </w:num>
  <w:num w:numId="35">
    <w:abstractNumId w:val="1"/>
  </w:num>
  <w:num w:numId="36">
    <w:abstractNumId w:val="0"/>
  </w:num>
  <w:num w:numId="37">
    <w:abstractNumId w:val="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1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05B7"/>
    <w:rsid w:val="00043796"/>
    <w:rsid w:val="000467DE"/>
    <w:rsid w:val="00046CE7"/>
    <w:rsid w:val="00051564"/>
    <w:rsid w:val="000605B2"/>
    <w:rsid w:val="00060E86"/>
    <w:rsid w:val="000629EC"/>
    <w:rsid w:val="000633CD"/>
    <w:rsid w:val="00063E70"/>
    <w:rsid w:val="0006572F"/>
    <w:rsid w:val="0006734D"/>
    <w:rsid w:val="00070EA9"/>
    <w:rsid w:val="0007632F"/>
    <w:rsid w:val="000777BC"/>
    <w:rsid w:val="000808F4"/>
    <w:rsid w:val="00081FB4"/>
    <w:rsid w:val="000835EC"/>
    <w:rsid w:val="00085E6E"/>
    <w:rsid w:val="00086105"/>
    <w:rsid w:val="00086DA5"/>
    <w:rsid w:val="000918C8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E7B0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726F"/>
    <w:rsid w:val="00161113"/>
    <w:rsid w:val="00164253"/>
    <w:rsid w:val="00164954"/>
    <w:rsid w:val="00166150"/>
    <w:rsid w:val="00171C81"/>
    <w:rsid w:val="0018140F"/>
    <w:rsid w:val="00182149"/>
    <w:rsid w:val="00183466"/>
    <w:rsid w:val="00186595"/>
    <w:rsid w:val="0019601A"/>
    <w:rsid w:val="00196E19"/>
    <w:rsid w:val="0019700E"/>
    <w:rsid w:val="00197810"/>
    <w:rsid w:val="00197C4C"/>
    <w:rsid w:val="001A0111"/>
    <w:rsid w:val="001A1DD0"/>
    <w:rsid w:val="001A374A"/>
    <w:rsid w:val="001B08BA"/>
    <w:rsid w:val="001B63D1"/>
    <w:rsid w:val="001C12F2"/>
    <w:rsid w:val="001C6285"/>
    <w:rsid w:val="001C7630"/>
    <w:rsid w:val="001D7318"/>
    <w:rsid w:val="001E2470"/>
    <w:rsid w:val="001F0120"/>
    <w:rsid w:val="001F0698"/>
    <w:rsid w:val="001F06F4"/>
    <w:rsid w:val="001F09CC"/>
    <w:rsid w:val="001F3B00"/>
    <w:rsid w:val="001F5BCA"/>
    <w:rsid w:val="00200B5C"/>
    <w:rsid w:val="00210F13"/>
    <w:rsid w:val="00212A9F"/>
    <w:rsid w:val="00227E1B"/>
    <w:rsid w:val="00235D1B"/>
    <w:rsid w:val="0023669B"/>
    <w:rsid w:val="0023705F"/>
    <w:rsid w:val="00241377"/>
    <w:rsid w:val="00244675"/>
    <w:rsid w:val="00246EDB"/>
    <w:rsid w:val="00250F87"/>
    <w:rsid w:val="00260885"/>
    <w:rsid w:val="00262175"/>
    <w:rsid w:val="00263305"/>
    <w:rsid w:val="00264616"/>
    <w:rsid w:val="00267F57"/>
    <w:rsid w:val="00270ED0"/>
    <w:rsid w:val="002727EB"/>
    <w:rsid w:val="00273805"/>
    <w:rsid w:val="00273A6B"/>
    <w:rsid w:val="002810E3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0A16"/>
    <w:rsid w:val="002D11AE"/>
    <w:rsid w:val="002D1DF0"/>
    <w:rsid w:val="002D75A9"/>
    <w:rsid w:val="002E05DD"/>
    <w:rsid w:val="002E0FEA"/>
    <w:rsid w:val="002E1625"/>
    <w:rsid w:val="002E4162"/>
    <w:rsid w:val="002F2874"/>
    <w:rsid w:val="002F5122"/>
    <w:rsid w:val="00301728"/>
    <w:rsid w:val="00302034"/>
    <w:rsid w:val="00302F5B"/>
    <w:rsid w:val="00303947"/>
    <w:rsid w:val="00303CA1"/>
    <w:rsid w:val="00305A82"/>
    <w:rsid w:val="00313D9E"/>
    <w:rsid w:val="0031489E"/>
    <w:rsid w:val="00315D76"/>
    <w:rsid w:val="003213F7"/>
    <w:rsid w:val="0032669D"/>
    <w:rsid w:val="00326EC8"/>
    <w:rsid w:val="00335701"/>
    <w:rsid w:val="0034432F"/>
    <w:rsid w:val="00345D02"/>
    <w:rsid w:val="0034632E"/>
    <w:rsid w:val="0035604E"/>
    <w:rsid w:val="003560B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5A06"/>
    <w:rsid w:val="003C0779"/>
    <w:rsid w:val="003C0F05"/>
    <w:rsid w:val="003D2F56"/>
    <w:rsid w:val="003D443B"/>
    <w:rsid w:val="003D7A2C"/>
    <w:rsid w:val="003D7E88"/>
    <w:rsid w:val="003E2833"/>
    <w:rsid w:val="003E2C99"/>
    <w:rsid w:val="003E311F"/>
    <w:rsid w:val="003E5F36"/>
    <w:rsid w:val="0040300A"/>
    <w:rsid w:val="0041064C"/>
    <w:rsid w:val="00411DC4"/>
    <w:rsid w:val="004170A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8EA"/>
    <w:rsid w:val="00440B05"/>
    <w:rsid w:val="004432F7"/>
    <w:rsid w:val="004475A5"/>
    <w:rsid w:val="0044789E"/>
    <w:rsid w:val="00447A4A"/>
    <w:rsid w:val="00447CB4"/>
    <w:rsid w:val="004500B7"/>
    <w:rsid w:val="004513E8"/>
    <w:rsid w:val="00452962"/>
    <w:rsid w:val="00455938"/>
    <w:rsid w:val="00457510"/>
    <w:rsid w:val="004617F5"/>
    <w:rsid w:val="00462957"/>
    <w:rsid w:val="004654AE"/>
    <w:rsid w:val="0047117A"/>
    <w:rsid w:val="004772DA"/>
    <w:rsid w:val="00483295"/>
    <w:rsid w:val="004870D9"/>
    <w:rsid w:val="00490EFE"/>
    <w:rsid w:val="004943EA"/>
    <w:rsid w:val="00494C5F"/>
    <w:rsid w:val="004958B6"/>
    <w:rsid w:val="00497F8B"/>
    <w:rsid w:val="004A5BDC"/>
    <w:rsid w:val="004B0ECC"/>
    <w:rsid w:val="004B268D"/>
    <w:rsid w:val="004B691F"/>
    <w:rsid w:val="004C0F16"/>
    <w:rsid w:val="004C5FF5"/>
    <w:rsid w:val="004C66C9"/>
    <w:rsid w:val="004C71C6"/>
    <w:rsid w:val="004D7FF7"/>
    <w:rsid w:val="004E04B1"/>
    <w:rsid w:val="004E0C5F"/>
    <w:rsid w:val="004E2BFD"/>
    <w:rsid w:val="004E5D5A"/>
    <w:rsid w:val="004E6261"/>
    <w:rsid w:val="004E6694"/>
    <w:rsid w:val="004F4AB6"/>
    <w:rsid w:val="004F5E75"/>
    <w:rsid w:val="00503151"/>
    <w:rsid w:val="00514702"/>
    <w:rsid w:val="005166D5"/>
    <w:rsid w:val="005229AD"/>
    <w:rsid w:val="005236D0"/>
    <w:rsid w:val="00527C76"/>
    <w:rsid w:val="00532A17"/>
    <w:rsid w:val="005367B4"/>
    <w:rsid w:val="005444BA"/>
    <w:rsid w:val="00552757"/>
    <w:rsid w:val="005536FC"/>
    <w:rsid w:val="00553CD1"/>
    <w:rsid w:val="005743BE"/>
    <w:rsid w:val="00575F57"/>
    <w:rsid w:val="00576551"/>
    <w:rsid w:val="00577EF9"/>
    <w:rsid w:val="00590E27"/>
    <w:rsid w:val="00591C22"/>
    <w:rsid w:val="00592B75"/>
    <w:rsid w:val="005A114A"/>
    <w:rsid w:val="005A6760"/>
    <w:rsid w:val="005B2121"/>
    <w:rsid w:val="005B293D"/>
    <w:rsid w:val="005B5F5F"/>
    <w:rsid w:val="005C180B"/>
    <w:rsid w:val="005C22FC"/>
    <w:rsid w:val="005D0B17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4529"/>
    <w:rsid w:val="0060559F"/>
    <w:rsid w:val="00606028"/>
    <w:rsid w:val="006127E3"/>
    <w:rsid w:val="0061594D"/>
    <w:rsid w:val="00620A8A"/>
    <w:rsid w:val="00621CDB"/>
    <w:rsid w:val="0062660F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2732B"/>
    <w:rsid w:val="007329D4"/>
    <w:rsid w:val="00736AEC"/>
    <w:rsid w:val="00736FD7"/>
    <w:rsid w:val="007479ED"/>
    <w:rsid w:val="00751635"/>
    <w:rsid w:val="007530EB"/>
    <w:rsid w:val="0075396B"/>
    <w:rsid w:val="007560DA"/>
    <w:rsid w:val="00756485"/>
    <w:rsid w:val="0076742D"/>
    <w:rsid w:val="00772DC4"/>
    <w:rsid w:val="00775CB6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B2A83"/>
    <w:rsid w:val="007C27F5"/>
    <w:rsid w:val="007C4CA8"/>
    <w:rsid w:val="007C5BB0"/>
    <w:rsid w:val="007C6890"/>
    <w:rsid w:val="007C6D5C"/>
    <w:rsid w:val="007D18EF"/>
    <w:rsid w:val="007D5A6D"/>
    <w:rsid w:val="007D62A6"/>
    <w:rsid w:val="007D754A"/>
    <w:rsid w:val="007D7F8A"/>
    <w:rsid w:val="007E0C59"/>
    <w:rsid w:val="007E5992"/>
    <w:rsid w:val="007F0BAC"/>
    <w:rsid w:val="007F464D"/>
    <w:rsid w:val="007F5C8E"/>
    <w:rsid w:val="007F6B63"/>
    <w:rsid w:val="007F74BB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2E6E"/>
    <w:rsid w:val="00883B18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C6B43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555E"/>
    <w:rsid w:val="009164FC"/>
    <w:rsid w:val="009213CA"/>
    <w:rsid w:val="009239CD"/>
    <w:rsid w:val="00926F22"/>
    <w:rsid w:val="00933B26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4EC"/>
    <w:rsid w:val="00997537"/>
    <w:rsid w:val="009A1387"/>
    <w:rsid w:val="009A449F"/>
    <w:rsid w:val="009A467E"/>
    <w:rsid w:val="009A5CCA"/>
    <w:rsid w:val="009A7F2F"/>
    <w:rsid w:val="009B0C94"/>
    <w:rsid w:val="009B102B"/>
    <w:rsid w:val="009B1839"/>
    <w:rsid w:val="009B5BBE"/>
    <w:rsid w:val="009B64B7"/>
    <w:rsid w:val="009C7121"/>
    <w:rsid w:val="009C7DF4"/>
    <w:rsid w:val="009D06AB"/>
    <w:rsid w:val="009D27E7"/>
    <w:rsid w:val="009D6566"/>
    <w:rsid w:val="009D6B53"/>
    <w:rsid w:val="009E1947"/>
    <w:rsid w:val="009E272C"/>
    <w:rsid w:val="009F0D55"/>
    <w:rsid w:val="009F4C14"/>
    <w:rsid w:val="00A10A35"/>
    <w:rsid w:val="00A1154E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54F3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7C8C"/>
    <w:rsid w:val="00A80EB0"/>
    <w:rsid w:val="00A84BDB"/>
    <w:rsid w:val="00A8529E"/>
    <w:rsid w:val="00A8744B"/>
    <w:rsid w:val="00A91019"/>
    <w:rsid w:val="00A946C8"/>
    <w:rsid w:val="00A97392"/>
    <w:rsid w:val="00AA26C4"/>
    <w:rsid w:val="00AA3D24"/>
    <w:rsid w:val="00AA6F32"/>
    <w:rsid w:val="00AB07F9"/>
    <w:rsid w:val="00AB117B"/>
    <w:rsid w:val="00AB32B7"/>
    <w:rsid w:val="00AB7943"/>
    <w:rsid w:val="00AC09E4"/>
    <w:rsid w:val="00AC192E"/>
    <w:rsid w:val="00AC314B"/>
    <w:rsid w:val="00AC3EAA"/>
    <w:rsid w:val="00AC49A0"/>
    <w:rsid w:val="00AC6E03"/>
    <w:rsid w:val="00AC7482"/>
    <w:rsid w:val="00AD56A8"/>
    <w:rsid w:val="00AD5869"/>
    <w:rsid w:val="00AD699B"/>
    <w:rsid w:val="00AE15E2"/>
    <w:rsid w:val="00AE2B41"/>
    <w:rsid w:val="00AE2D48"/>
    <w:rsid w:val="00AE5011"/>
    <w:rsid w:val="00AF0924"/>
    <w:rsid w:val="00AF18F3"/>
    <w:rsid w:val="00B02E31"/>
    <w:rsid w:val="00B07969"/>
    <w:rsid w:val="00B12466"/>
    <w:rsid w:val="00B15160"/>
    <w:rsid w:val="00B1662A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8C3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7A2"/>
    <w:rsid w:val="00BD474B"/>
    <w:rsid w:val="00BD47C6"/>
    <w:rsid w:val="00BD5057"/>
    <w:rsid w:val="00BE022E"/>
    <w:rsid w:val="00BE2EFC"/>
    <w:rsid w:val="00BE4A78"/>
    <w:rsid w:val="00BE6BB0"/>
    <w:rsid w:val="00BF303C"/>
    <w:rsid w:val="00C029B3"/>
    <w:rsid w:val="00C049D4"/>
    <w:rsid w:val="00C05247"/>
    <w:rsid w:val="00C11DE9"/>
    <w:rsid w:val="00C15DF3"/>
    <w:rsid w:val="00C203E8"/>
    <w:rsid w:val="00C32232"/>
    <w:rsid w:val="00C327CA"/>
    <w:rsid w:val="00C35793"/>
    <w:rsid w:val="00C3703A"/>
    <w:rsid w:val="00C45109"/>
    <w:rsid w:val="00C50794"/>
    <w:rsid w:val="00C5467D"/>
    <w:rsid w:val="00C81ADD"/>
    <w:rsid w:val="00C81E21"/>
    <w:rsid w:val="00C83699"/>
    <w:rsid w:val="00C849E4"/>
    <w:rsid w:val="00C85AE5"/>
    <w:rsid w:val="00C869A8"/>
    <w:rsid w:val="00C90E3E"/>
    <w:rsid w:val="00C92D39"/>
    <w:rsid w:val="00C93DA8"/>
    <w:rsid w:val="00C953C3"/>
    <w:rsid w:val="00C96906"/>
    <w:rsid w:val="00C96C5A"/>
    <w:rsid w:val="00C96F9B"/>
    <w:rsid w:val="00C97FF4"/>
    <w:rsid w:val="00CA3710"/>
    <w:rsid w:val="00CB0B44"/>
    <w:rsid w:val="00CB2529"/>
    <w:rsid w:val="00CB3352"/>
    <w:rsid w:val="00CB57EF"/>
    <w:rsid w:val="00CB61CA"/>
    <w:rsid w:val="00CC4BD6"/>
    <w:rsid w:val="00CC78F2"/>
    <w:rsid w:val="00CD15C5"/>
    <w:rsid w:val="00CD22E0"/>
    <w:rsid w:val="00CD2CFC"/>
    <w:rsid w:val="00CD40A2"/>
    <w:rsid w:val="00CD54C3"/>
    <w:rsid w:val="00CE0D5C"/>
    <w:rsid w:val="00CE6721"/>
    <w:rsid w:val="00CE72DE"/>
    <w:rsid w:val="00CF1B1E"/>
    <w:rsid w:val="00CF30FF"/>
    <w:rsid w:val="00D0031E"/>
    <w:rsid w:val="00D020D5"/>
    <w:rsid w:val="00D02DD9"/>
    <w:rsid w:val="00D040E1"/>
    <w:rsid w:val="00D063BD"/>
    <w:rsid w:val="00D15345"/>
    <w:rsid w:val="00D16E05"/>
    <w:rsid w:val="00D17585"/>
    <w:rsid w:val="00D176ED"/>
    <w:rsid w:val="00D17D92"/>
    <w:rsid w:val="00D2278E"/>
    <w:rsid w:val="00D24E3D"/>
    <w:rsid w:val="00D27E56"/>
    <w:rsid w:val="00D32FFE"/>
    <w:rsid w:val="00D401ED"/>
    <w:rsid w:val="00D4593A"/>
    <w:rsid w:val="00D46FBA"/>
    <w:rsid w:val="00D512EB"/>
    <w:rsid w:val="00D52A8A"/>
    <w:rsid w:val="00D53536"/>
    <w:rsid w:val="00D54E7E"/>
    <w:rsid w:val="00D6046C"/>
    <w:rsid w:val="00D6385C"/>
    <w:rsid w:val="00D659B8"/>
    <w:rsid w:val="00D66047"/>
    <w:rsid w:val="00D7171D"/>
    <w:rsid w:val="00D75088"/>
    <w:rsid w:val="00D75F2B"/>
    <w:rsid w:val="00D77CC4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0BF2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67438"/>
    <w:rsid w:val="00E71456"/>
    <w:rsid w:val="00E716B6"/>
    <w:rsid w:val="00E726A7"/>
    <w:rsid w:val="00E764B7"/>
    <w:rsid w:val="00E778D8"/>
    <w:rsid w:val="00E823C5"/>
    <w:rsid w:val="00E83A4F"/>
    <w:rsid w:val="00E8450D"/>
    <w:rsid w:val="00E84991"/>
    <w:rsid w:val="00E84D2A"/>
    <w:rsid w:val="00E85715"/>
    <w:rsid w:val="00EA00D5"/>
    <w:rsid w:val="00EA3C7C"/>
    <w:rsid w:val="00EA6118"/>
    <w:rsid w:val="00EB1806"/>
    <w:rsid w:val="00EB1AF1"/>
    <w:rsid w:val="00EB432E"/>
    <w:rsid w:val="00EB6FCC"/>
    <w:rsid w:val="00EB72AB"/>
    <w:rsid w:val="00EB7C04"/>
    <w:rsid w:val="00EC0359"/>
    <w:rsid w:val="00EC0E55"/>
    <w:rsid w:val="00EC3306"/>
    <w:rsid w:val="00EC3B7C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4CA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C4B"/>
    <w:rsid w:val="00F65BA5"/>
    <w:rsid w:val="00F71A85"/>
    <w:rsid w:val="00F721AD"/>
    <w:rsid w:val="00F750AF"/>
    <w:rsid w:val="00F77EFA"/>
    <w:rsid w:val="00F82C76"/>
    <w:rsid w:val="00F85A7F"/>
    <w:rsid w:val="00F90467"/>
    <w:rsid w:val="00F97389"/>
    <w:rsid w:val="00FA0F51"/>
    <w:rsid w:val="00FA2E48"/>
    <w:rsid w:val="00FA3D22"/>
    <w:rsid w:val="00FA4AF5"/>
    <w:rsid w:val="00FA54BF"/>
    <w:rsid w:val="00FA7AC2"/>
    <w:rsid w:val="00FB250A"/>
    <w:rsid w:val="00FB2C38"/>
    <w:rsid w:val="00FB464F"/>
    <w:rsid w:val="00FC0253"/>
    <w:rsid w:val="00FC037C"/>
    <w:rsid w:val="00FC3266"/>
    <w:rsid w:val="00FC46CC"/>
    <w:rsid w:val="00FC63CD"/>
    <w:rsid w:val="00FD42D5"/>
    <w:rsid w:val="00FD4377"/>
    <w:rsid w:val="00FD4919"/>
    <w:rsid w:val="00FD7CBB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7006B"/>
  <w15:docId w15:val="{511E6A93-09D5-4FC5-A362-DD8C8985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BB"/>
  </w:style>
  <w:style w:type="paragraph" w:styleId="1">
    <w:name w:val="heading 1"/>
    <w:basedOn w:val="a"/>
    <w:next w:val="a"/>
    <w:link w:val="10"/>
    <w:qFormat/>
    <w:rsid w:val="00EC3B7C"/>
    <w:pPr>
      <w:keepNext/>
      <w:spacing w:before="240" w:after="12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EC3B7C"/>
    <w:pPr>
      <w:keepNext/>
      <w:spacing w:before="240" w:after="120" w:line="240" w:lineRule="auto"/>
      <w:jc w:val="center"/>
      <w:outlineLvl w:val="1"/>
    </w:pPr>
    <w:rPr>
      <w:rFonts w:ascii="Times New Roman" w:eastAsia="Calibri" w:hAnsi="Times New Roman" w:cs="Times New Roman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3B7C"/>
    <w:pPr>
      <w:keepNext/>
      <w:spacing w:before="240" w:after="120" w:line="240" w:lineRule="auto"/>
      <w:jc w:val="center"/>
      <w:outlineLvl w:val="2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EC3B7C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B7C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7">
    <w:name w:val="heading 7"/>
    <w:basedOn w:val="a"/>
    <w:next w:val="a"/>
    <w:link w:val="70"/>
    <w:qFormat/>
    <w:rsid w:val="00EC3B7C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885"/>
  </w:style>
  <w:style w:type="character" w:styleId="a6">
    <w:name w:val="page number"/>
    <w:basedOn w:val="a0"/>
    <w:rsid w:val="00260885"/>
  </w:style>
  <w:style w:type="table" w:styleId="a7">
    <w:name w:val="Table Grid"/>
    <w:basedOn w:val="a1"/>
    <w:uiPriority w:val="59"/>
    <w:rsid w:val="0026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885"/>
  </w:style>
  <w:style w:type="paragraph" w:styleId="aa">
    <w:name w:val="Balloon Text"/>
    <w:basedOn w:val="a"/>
    <w:link w:val="ab"/>
    <w:uiPriority w:val="99"/>
    <w:semiHidden/>
    <w:unhideWhenUsed/>
    <w:rsid w:val="00E8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715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BD37A2"/>
    <w:pPr>
      <w:spacing w:after="160" w:line="259" w:lineRule="auto"/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BD37A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D37A2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BD37A2"/>
    <w:rPr>
      <w:vertAlign w:val="superscript"/>
    </w:rPr>
  </w:style>
  <w:style w:type="paragraph" w:customStyle="1" w:styleId="Default">
    <w:name w:val="Default"/>
    <w:rsid w:val="00BD3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882E6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82E6E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882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882E6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882E6E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882E6E"/>
  </w:style>
  <w:style w:type="character" w:styleId="af1">
    <w:name w:val="Hyperlink"/>
    <w:basedOn w:val="a0"/>
    <w:uiPriority w:val="99"/>
    <w:unhideWhenUsed/>
    <w:rsid w:val="00882E6E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88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882E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2E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CharStyle11"/>
    <w:uiPriority w:val="99"/>
    <w:rsid w:val="00882E6E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882E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82E6E"/>
  </w:style>
  <w:style w:type="paragraph" w:styleId="af6">
    <w:name w:val="Normal (Web)"/>
    <w:basedOn w:val="a"/>
    <w:uiPriority w:val="99"/>
    <w:unhideWhenUsed/>
    <w:rsid w:val="0088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882E6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82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Стилько"/>
    <w:basedOn w:val="a"/>
    <w:qFormat/>
    <w:rsid w:val="00882E6E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C3B7C"/>
    <w:rPr>
      <w:rFonts w:ascii="Times New Roman" w:eastAsia="Calibri" w:hAnsi="Times New Roman" w:cs="Times New Roman"/>
      <w:b/>
      <w:bCs/>
      <w:kern w:val="32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EC3B7C"/>
    <w:rPr>
      <w:rFonts w:ascii="Times New Roman" w:eastAsia="Calibri" w:hAnsi="Times New Roman" w:cs="Times New Roman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3B7C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EC3B7C"/>
    <w:rPr>
      <w:rFonts w:ascii="Calibri" w:eastAsia="Calibri" w:hAnsi="Calibri" w:cs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C3B7C"/>
  </w:style>
  <w:style w:type="paragraph" w:customStyle="1" w:styleId="CM178">
    <w:name w:val="CM178"/>
    <w:basedOn w:val="a"/>
    <w:next w:val="a"/>
    <w:rsid w:val="00EC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EC3B7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a">
    <w:name w:val="Subtitle"/>
    <w:basedOn w:val="a"/>
    <w:next w:val="a"/>
    <w:link w:val="afb"/>
    <w:qFormat/>
    <w:rsid w:val="00EC3B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rsid w:val="00EC3B7C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4">
    <w:name w:val="Заголовок оглавления1"/>
    <w:basedOn w:val="1"/>
    <w:next w:val="a"/>
    <w:qFormat/>
    <w:rsid w:val="00EC3B7C"/>
    <w:pPr>
      <w:keepLines/>
      <w:spacing w:before="480" w:after="0" w:line="276" w:lineRule="auto"/>
      <w:outlineLvl w:val="9"/>
    </w:pPr>
    <w:rPr>
      <w:color w:val="365F91"/>
      <w:kern w:val="0"/>
    </w:rPr>
  </w:style>
  <w:style w:type="paragraph" w:styleId="23">
    <w:name w:val="toc 2"/>
    <w:basedOn w:val="a"/>
    <w:next w:val="a"/>
    <w:autoRedefine/>
    <w:uiPriority w:val="39"/>
    <w:unhideWhenUsed/>
    <w:qFormat/>
    <w:rsid w:val="00EC3B7C"/>
    <w:pPr>
      <w:spacing w:after="100"/>
      <w:ind w:left="220"/>
    </w:pPr>
    <w:rPr>
      <w:rFonts w:ascii="Calibri" w:eastAsia="Times New Roman" w:hAnsi="Calibri" w:cs="Times New Roman"/>
      <w:lang w:val="en-US"/>
    </w:rPr>
  </w:style>
  <w:style w:type="paragraph" w:styleId="15">
    <w:name w:val="toc 1"/>
    <w:basedOn w:val="a"/>
    <w:next w:val="a"/>
    <w:autoRedefine/>
    <w:uiPriority w:val="39"/>
    <w:unhideWhenUsed/>
    <w:qFormat/>
    <w:rsid w:val="00EC3B7C"/>
    <w:pPr>
      <w:tabs>
        <w:tab w:val="right" w:leader="dot" w:pos="10245"/>
      </w:tabs>
      <w:spacing w:after="0"/>
      <w:ind w:left="360" w:hanging="27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C3B7C"/>
    <w:pPr>
      <w:spacing w:after="100"/>
      <w:ind w:left="440"/>
    </w:pPr>
    <w:rPr>
      <w:rFonts w:ascii="Calibri" w:eastAsia="Times New Roman" w:hAnsi="Calibri" w:cs="Times New Roman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EC3B7C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c">
    <w:name w:val="FollowedHyperlink"/>
    <w:rsid w:val="00EC3B7C"/>
    <w:rPr>
      <w:color w:val="800080"/>
      <w:u w:val="single"/>
    </w:rPr>
  </w:style>
  <w:style w:type="character" w:customStyle="1" w:styleId="6">
    <w:name w:val="Знак Знак6"/>
    <w:locked/>
    <w:rsid w:val="00EC3B7C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locked/>
    <w:rsid w:val="00EC3B7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2">
    <w:name w:val="Знак Знак4"/>
    <w:locked/>
    <w:rsid w:val="00EC3B7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2">
    <w:name w:val="Знак Знак3"/>
    <w:locked/>
    <w:rsid w:val="00EC3B7C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d">
    <w:name w:val="Знак Знак"/>
    <w:locked/>
    <w:rsid w:val="00EC3B7C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4">
    <w:name w:val="Знак Знак2"/>
    <w:locked/>
    <w:rsid w:val="00EC3B7C"/>
    <w:rPr>
      <w:sz w:val="22"/>
      <w:lang w:val="en-US" w:eastAsia="en-US" w:bidi="ar-SA"/>
    </w:rPr>
  </w:style>
  <w:style w:type="character" w:styleId="afe">
    <w:name w:val="annotation reference"/>
    <w:uiPriority w:val="99"/>
    <w:semiHidden/>
    <w:unhideWhenUsed/>
    <w:rsid w:val="00EC3B7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C3B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3B7C"/>
    <w:rPr>
      <w:rFonts w:ascii="Calibri" w:eastAsia="Calibri" w:hAnsi="Calibri" w:cs="Times New Roman"/>
      <w:sz w:val="20"/>
      <w:szCs w:val="20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3B7C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3B7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f3">
    <w:name w:val="TOC Heading"/>
    <w:basedOn w:val="1"/>
    <w:next w:val="a"/>
    <w:uiPriority w:val="39"/>
    <w:unhideWhenUsed/>
    <w:qFormat/>
    <w:rsid w:val="00EC3B7C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52">
    <w:name w:val="toc 5"/>
    <w:basedOn w:val="a"/>
    <w:next w:val="a"/>
    <w:autoRedefine/>
    <w:uiPriority w:val="39"/>
    <w:unhideWhenUsed/>
    <w:rsid w:val="00EC3B7C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0">
    <w:name w:val="toc 6"/>
    <w:basedOn w:val="a"/>
    <w:next w:val="a"/>
    <w:autoRedefine/>
    <w:uiPriority w:val="39"/>
    <w:unhideWhenUsed/>
    <w:rsid w:val="00EC3B7C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EC3B7C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EC3B7C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EC3B7C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C3B7C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endnote text"/>
    <w:basedOn w:val="a"/>
    <w:link w:val="aff5"/>
    <w:uiPriority w:val="99"/>
    <w:semiHidden/>
    <w:unhideWhenUsed/>
    <w:rsid w:val="00EC3B7C"/>
    <w:pPr>
      <w:spacing w:after="0" w:line="240" w:lineRule="auto"/>
    </w:pPr>
    <w:rPr>
      <w:sz w:val="20"/>
      <w:szCs w:val="20"/>
      <w:lang w:val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EC3B7C"/>
    <w:rPr>
      <w:sz w:val="20"/>
      <w:szCs w:val="20"/>
      <w:lang w:val="en-US"/>
    </w:rPr>
  </w:style>
  <w:style w:type="character" w:styleId="aff6">
    <w:name w:val="endnote reference"/>
    <w:basedOn w:val="a0"/>
    <w:uiPriority w:val="99"/>
    <w:semiHidden/>
    <w:unhideWhenUsed/>
    <w:rsid w:val="00EC3B7C"/>
    <w:rPr>
      <w:vertAlign w:val="superscript"/>
    </w:rPr>
  </w:style>
  <w:style w:type="paragraph" w:customStyle="1" w:styleId="GuideBody">
    <w:name w:val="Guide Body"/>
    <w:basedOn w:val="a"/>
    <w:qFormat/>
    <w:locked/>
    <w:rsid w:val="00EC3B7C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paragraph" w:customStyle="1" w:styleId="KAMKNormal">
    <w:name w:val="KAMKNormal"/>
    <w:basedOn w:val="a"/>
    <w:link w:val="KAMKNormalChar"/>
    <w:qFormat/>
    <w:rsid w:val="00EC3B7C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EC3B7C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2"/>
    <w:uiPriority w:val="4"/>
    <w:qFormat/>
    <w:rsid w:val="00EC3B7C"/>
    <w:pPr>
      <w:numPr>
        <w:numId w:val="22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EC3B7C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EC3B7C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EC3B7C"/>
    <w:rPr>
      <w:rFonts w:ascii="Arial" w:eastAsia="Times New Roman" w:hAnsi="Arial" w:cs="Arial"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EC3B7C"/>
  </w:style>
  <w:style w:type="paragraph" w:customStyle="1" w:styleId="letteredlist">
    <w:name w:val="lettered list"/>
    <w:basedOn w:val="a"/>
    <w:rsid w:val="00EC3B7C"/>
    <w:pPr>
      <w:numPr>
        <w:numId w:val="27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EC3B7C"/>
    <w:pPr>
      <w:numPr>
        <w:numId w:val="28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EC3B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C3B7C"/>
  </w:style>
  <w:style w:type="paragraph" w:styleId="33">
    <w:name w:val="Body Text 3"/>
    <w:basedOn w:val="a"/>
    <w:link w:val="34"/>
    <w:rsid w:val="00EC3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EC3B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EC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rsid w:val="00EC3B7C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EC3B7C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EC3B7C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C3B7C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f7">
    <w:name w:val="Strong"/>
    <w:basedOn w:val="a0"/>
    <w:uiPriority w:val="22"/>
    <w:qFormat/>
    <w:rsid w:val="00EC3B7C"/>
    <w:rPr>
      <w:b/>
      <w:bCs/>
    </w:rPr>
  </w:style>
  <w:style w:type="paragraph" w:customStyle="1" w:styleId="ConsPlusTitle">
    <w:name w:val="ConsPlusTitle"/>
    <w:rsid w:val="0093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FD7CBB"/>
  </w:style>
  <w:style w:type="character" w:customStyle="1" w:styleId="16">
    <w:name w:val="Текст выноски Знак1"/>
    <w:basedOn w:val="a0"/>
    <w:uiPriority w:val="99"/>
    <w:semiHidden/>
    <w:rsid w:val="00FD7CBB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semiHidden/>
    <w:rsid w:val="00FD7CBB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FD7CBB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7">
    <w:name w:val="Body Text 2"/>
    <w:basedOn w:val="a"/>
    <w:link w:val="28"/>
    <w:semiHidden/>
    <w:rsid w:val="00FD7CBB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8">
    <w:name w:val="Основной текст 2 Знак"/>
    <w:basedOn w:val="a0"/>
    <w:link w:val="27"/>
    <w:semiHidden/>
    <w:rsid w:val="00FD7CBB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f8">
    <w:name w:val="Block Text"/>
    <w:basedOn w:val="a"/>
    <w:semiHidden/>
    <w:rsid w:val="00FD7CBB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FD7CBB"/>
  </w:style>
  <w:style w:type="paragraph" w:customStyle="1" w:styleId="u">
    <w:name w:val="u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FD7CBB"/>
  </w:style>
  <w:style w:type="paragraph" w:customStyle="1" w:styleId="msonormalmailrucssattributepostfix">
    <w:name w:val="msonormal_mailru_css_attribute_postfix"/>
    <w:basedOn w:val="a"/>
    <w:rsid w:val="00FD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D7CBB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D7CBB"/>
    <w:rPr>
      <w:shd w:val="clear" w:color="auto" w:fill="FFFFFF"/>
    </w:rPr>
  </w:style>
  <w:style w:type="table" w:customStyle="1" w:styleId="43">
    <w:name w:val="Сетка таблицы4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FD7CBB"/>
  </w:style>
  <w:style w:type="table" w:customStyle="1" w:styleId="53">
    <w:name w:val="Сетка таблицы5"/>
    <w:basedOn w:val="a1"/>
    <w:next w:val="a7"/>
    <w:uiPriority w:val="59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rsid w:val="00F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D7CBB"/>
  </w:style>
  <w:style w:type="table" w:customStyle="1" w:styleId="72">
    <w:name w:val="Сетка таблицы7"/>
    <w:basedOn w:val="a1"/>
    <w:next w:val="a7"/>
    <w:rsid w:val="00FD7C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FD7CBB"/>
  </w:style>
  <w:style w:type="table" w:customStyle="1" w:styleId="80">
    <w:name w:val="Сетка таблицы8"/>
    <w:basedOn w:val="a1"/>
    <w:next w:val="a7"/>
    <w:uiPriority w:val="59"/>
    <w:rsid w:val="00FD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7"/>
    <w:uiPriority w:val="59"/>
    <w:rsid w:val="00FD7C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E7D31AB5B1BD66A4B43BD583158241E6C2DDA78796713E0636292537CA50BC6FD38EA29FB87AB206D560CB87F348HAM5N" TargetMode="External"/><Relationship Id="rId13" Type="http://schemas.openxmlformats.org/officeDocument/2006/relationships/hyperlink" Target="consultantplus://offline/ref=2D6F79C5FDA01B1182F2E7D31AB5B1BD66A4B43BD583158241E6C2DDA78796712C066E25253ED150B87A85DFE7HCM3N" TargetMode="External"/><Relationship Id="rId18" Type="http://schemas.openxmlformats.org/officeDocument/2006/relationships/hyperlink" Target="consultantplus://offline/ref=2D6F79C5FDA01B1182F2E7D31AB5B1BD60A8B23FD989488849BFCEDFA088C974391736282C29CF57A16687DEHEMFN" TargetMode="External"/><Relationship Id="rId26" Type="http://schemas.openxmlformats.org/officeDocument/2006/relationships/hyperlink" Target="consultantplus://offline/ref=2D6F79C5FDA01B1182F2E7D31AB5B1BD60A8B23FD989488849BFCEDFA088C974391736282C29CF57A16687DEHEM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6F79C5FDA01B1182F2E7D31AB5B1BD66A4B43BD583158241E6C2DDA78796712C066E25253ED150B87A85DFE7HCM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F79C5FDA01B1182F2E7D31AB5B1BD66A4B43BD583158241E6C2DDA78796712C066E25253ED150B87A85DFE7HCM3N" TargetMode="External"/><Relationship Id="rId17" Type="http://schemas.openxmlformats.org/officeDocument/2006/relationships/hyperlink" Target="consultantplus://offline/ref=2D6F79C5FDA01B1182F2E7D31AB5B1BD66A4B43BD583158241E6C2DDA78796712C066E25253ED150B87A85DFE7HCM3N" TargetMode="External"/><Relationship Id="rId25" Type="http://schemas.openxmlformats.org/officeDocument/2006/relationships/hyperlink" Target="consultantplus://offline/ref=2D6F79C5FDA01B1182F2E7D31AB5B1BD66A4B43BD583158241E6C2DDA78796712C066E25253ED150B87A85DFE7HCM3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6F79C5FDA01B1182F2E7D31AB5B1BD67AFBA3DD280158241E6C2DDA78796712C066E25253ED150B87A85DFE7HCM3N" TargetMode="External"/><Relationship Id="rId20" Type="http://schemas.openxmlformats.org/officeDocument/2006/relationships/hyperlink" Target="consultantplus://offline/ref=2D6F79C5FDA01B1182F2E7D31AB5B1BD66A4B43BD583158241E6C2DDA78796713E0636292537CF58BE6FD38EA29FB87AB206D560CB87F348HAM5N" TargetMode="External"/><Relationship Id="rId29" Type="http://schemas.openxmlformats.org/officeDocument/2006/relationships/hyperlink" Target="consultantplus://offline/ref=2D6F79C5FDA01B1182F2E7D31AB5B1BD66ADB43DD281158241E6C2DDA78796713E0636292535C404EE20D2D2E6C3AB7ABC06D767D4H8M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F79C5FDA01B1182F2E7D31AB5B1BD66A4B43BD583158241E6C2DDA78796712C066E25253ED150B87A85DFE7HCM3N" TargetMode="External"/><Relationship Id="rId24" Type="http://schemas.openxmlformats.org/officeDocument/2006/relationships/hyperlink" Target="consultantplus://offline/ref=2D6F79C5FDA01B1182F2E7D31AB5B1BD66A4B43BD583158241E6C2DDA78796712C066E25253ED150B87A85DFE7HCM3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F79C5FDA01B1182F2E7D31AB5B1BD67ADB038D784158241E6C2DDA78796712C066E25253ED150B87A85DFE7HCM3N" TargetMode="External"/><Relationship Id="rId23" Type="http://schemas.openxmlformats.org/officeDocument/2006/relationships/hyperlink" Target="consultantplus://offline/ref=2D6F79C5FDA01B1182F2E7D31AB5B1BD67ADB038D784158241E6C2DDA78796712C066E25253ED150B87A85DFE7HCM3N" TargetMode="External"/><Relationship Id="rId28" Type="http://schemas.openxmlformats.org/officeDocument/2006/relationships/hyperlink" Target="consultantplus://offline/ref=2D6F79C5FDA01B1182F2E7D31AB5B1BD67AFB43DD487158241E6C2DDA78796712C066E25253ED150B87A85DFE7HCM3N" TargetMode="External"/><Relationship Id="rId10" Type="http://schemas.openxmlformats.org/officeDocument/2006/relationships/hyperlink" Target="consultantplus://offline/ref=2D6F79C5FDA01B1182F2E7D31AB5B1BD66A4B43BD583158241E6C2DDA78796712C066E25253ED150B87A85DFE7HCM3N" TargetMode="External"/><Relationship Id="rId19" Type="http://schemas.openxmlformats.org/officeDocument/2006/relationships/hyperlink" Target="consultantplus://offline/ref=2D6F79C5FDA01B1182F2E7D31AB5B1BD67ADB038D784158241E6C2DDA78796712C066E25253ED150B87A85DFE7HCM3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0296\Desktop\&#1057;&#1086;&#1074;&#1077;&#1090;%202020\&#1057;&#1086;&#1074;&#1077;&#1090;\&#1052;&#1072;&#1090;&#1077;&#1088;&#1080;&#1072;&#1083;&#1099;%20&#1079;&#1072;&#1089;&#1077;&#1076;&#1072;&#1085;&#1080;&#1081;\24%20&#1084;&#1072;&#1088;&#1090;&#1072;\4-3%20&#1055;&#1088;&#1080;&#1082;&#1072;&#1079;%20&#1052;&#1060;%20&#1074;&#1084;&#1077;&#1089;&#1090;&#1086;%20203&#1085;.docx" TargetMode="External"/><Relationship Id="rId14" Type="http://schemas.openxmlformats.org/officeDocument/2006/relationships/hyperlink" Target="consultantplus://offline/ref=2D6F79C5FDA01B1182F2E7D31AB5B1BD60A8B23FD989488849BFCEDFA088C974391736282C29CF57A16687DEHEMFN" TargetMode="External"/><Relationship Id="rId22" Type="http://schemas.openxmlformats.org/officeDocument/2006/relationships/hyperlink" Target="consultantplus://offline/ref=2D6F79C5FDA01B1182F2E7D31AB5B1BD60A8B23FD989488849BFCEDFA088C974391736282C29CF57A16687DEHEMFN" TargetMode="External"/><Relationship Id="rId27" Type="http://schemas.openxmlformats.org/officeDocument/2006/relationships/hyperlink" Target="consultantplus://offline/ref=2D6F79C5FDA01B1182F2E7D31AB5B1BD67ADB038D784158241E6C2DDA78796712C066E25253ED150B87A85DFE7HCM3N" TargetMode="External"/><Relationship Id="rId30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3AAB-0DFF-430D-83C2-A86FCB5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5</cp:revision>
  <cp:lastPrinted>2020-03-24T08:39:00Z</cp:lastPrinted>
  <dcterms:created xsi:type="dcterms:W3CDTF">2020-04-06T09:03:00Z</dcterms:created>
  <dcterms:modified xsi:type="dcterms:W3CDTF">2020-04-06T09:14:00Z</dcterms:modified>
</cp:coreProperties>
</file>