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AC" w:rsidRDefault="008774AC">
      <w:pPr>
        <w:pStyle w:val="ConsPlusTitlePage"/>
      </w:pPr>
      <w:r>
        <w:t xml:space="preserve">Документ предоставлен </w:t>
      </w:r>
      <w:hyperlink r:id="rId4" w:history="1">
        <w:r>
          <w:rPr>
            <w:color w:val="0000FF"/>
          </w:rPr>
          <w:t>КонсультантПлюс</w:t>
        </w:r>
      </w:hyperlink>
      <w:r>
        <w:br/>
      </w:r>
    </w:p>
    <w:p w:rsidR="008774AC" w:rsidRDefault="008774AC">
      <w:pPr>
        <w:pStyle w:val="ConsPlusNormal"/>
        <w:jc w:val="both"/>
        <w:outlineLvl w:val="0"/>
      </w:pPr>
    </w:p>
    <w:p w:rsidR="008774AC" w:rsidRDefault="008774AC">
      <w:pPr>
        <w:pStyle w:val="ConsPlusTitle"/>
        <w:jc w:val="center"/>
        <w:outlineLvl w:val="0"/>
      </w:pPr>
      <w:r>
        <w:t>МИНИСТЕРСТВО ФИНАНСОВ РОССИЙСКОЙ ФЕДЕРАЦИИ</w:t>
      </w:r>
    </w:p>
    <w:p w:rsidR="008774AC" w:rsidRDefault="008774AC">
      <w:pPr>
        <w:pStyle w:val="ConsPlusTitle"/>
        <w:jc w:val="center"/>
      </w:pPr>
    </w:p>
    <w:p w:rsidR="008774AC" w:rsidRDefault="008774AC">
      <w:pPr>
        <w:pStyle w:val="ConsPlusTitle"/>
        <w:jc w:val="center"/>
      </w:pPr>
      <w:r>
        <w:t>ПИСЬМО</w:t>
      </w:r>
    </w:p>
    <w:p w:rsidR="008774AC" w:rsidRDefault="008774AC">
      <w:pPr>
        <w:pStyle w:val="ConsPlusTitle"/>
        <w:jc w:val="center"/>
      </w:pPr>
      <w:r>
        <w:t>от 7 апреля 2020 г. N 07-02-09/27403</w:t>
      </w:r>
    </w:p>
    <w:p w:rsidR="008774AC" w:rsidRDefault="008774AC">
      <w:pPr>
        <w:pStyle w:val="ConsPlusNormal"/>
        <w:jc w:val="both"/>
      </w:pPr>
    </w:p>
    <w:p w:rsidR="008774AC" w:rsidRDefault="008774AC">
      <w:pPr>
        <w:pStyle w:val="ConsPlusNormal"/>
        <w:ind w:firstLine="540"/>
        <w:jc w:val="both"/>
      </w:pPr>
      <w:r>
        <w:t xml:space="preserve">В связи с поступающими запросами о порядке осуществления аудиторской деятельности в условиях сложной эпидемиологической ситуации в связи с распространением новой коронавирусной инфекции Департамент регулирования бухгалтерского учета, финансовой отчетности, аудиторской деятельности, валютной сферы и негосударственных пенсионных фондов обращает внимание аудиторских организаций, индивидуальных аудиторов на Информационное </w:t>
      </w:r>
      <w:hyperlink r:id="rId5" w:history="1">
        <w:r>
          <w:rPr>
            <w:color w:val="0000FF"/>
          </w:rPr>
          <w:t>сообщение</w:t>
        </w:r>
      </w:hyperlink>
      <w:r>
        <w:t xml:space="preserve"> ИС-аудит-32 "Влияние эпидемиологической ситуации на организацию и оказание аудиторских услуг", опубликованное на официальном Интернет-сайте Минфина России www.minfin.ru в разделе "Аудиторская деятельность - Общая информация".</w:t>
      </w:r>
    </w:p>
    <w:p w:rsidR="008774AC" w:rsidRDefault="008774AC">
      <w:pPr>
        <w:pStyle w:val="ConsPlusNormal"/>
        <w:spacing w:before="220"/>
        <w:ind w:firstLine="540"/>
        <w:jc w:val="both"/>
      </w:pPr>
      <w:r>
        <w:t xml:space="preserve">В дополнение к указанному Информационному </w:t>
      </w:r>
      <w:hyperlink r:id="rId6" w:history="1">
        <w:r>
          <w:rPr>
            <w:color w:val="0000FF"/>
          </w:rPr>
          <w:t>сообщению</w:t>
        </w:r>
      </w:hyperlink>
      <w:r>
        <w:t xml:space="preserve"> необходимо иметь в виду, что при составлении аудиторских заключений:</w:t>
      </w:r>
    </w:p>
    <w:p w:rsidR="008774AC" w:rsidRDefault="008774AC">
      <w:pPr>
        <w:pStyle w:val="ConsPlusNormal"/>
        <w:spacing w:before="220"/>
        <w:ind w:firstLine="540"/>
        <w:jc w:val="both"/>
      </w:pPr>
      <w:r>
        <w:t xml:space="preserve">а) аудиторские организации, индивидуальные аудиторы должны соблюдать требования применимых Международных стандартов аудита, введенных в действие на территории Российской Федерации </w:t>
      </w:r>
      <w:hyperlink r:id="rId7" w:history="1">
        <w:r>
          <w:rPr>
            <w:color w:val="0000FF"/>
          </w:rPr>
          <w:t>приказом</w:t>
        </w:r>
      </w:hyperlink>
      <w:r>
        <w:t xml:space="preserve"> Минфина России от 9 января 2019 года N 2н;</w:t>
      </w:r>
    </w:p>
    <w:p w:rsidR="008774AC" w:rsidRDefault="008774AC">
      <w:pPr>
        <w:pStyle w:val="ConsPlusNormal"/>
        <w:spacing w:before="220"/>
        <w:ind w:firstLine="540"/>
        <w:jc w:val="both"/>
      </w:pPr>
      <w:r>
        <w:t xml:space="preserve">б) целесообразно использовать </w:t>
      </w:r>
      <w:hyperlink r:id="rId8" w:history="1">
        <w:r>
          <w:rPr>
            <w:color w:val="0000FF"/>
          </w:rPr>
          <w:t>Сборник</w:t>
        </w:r>
      </w:hyperlink>
      <w:r>
        <w:t xml:space="preserve"> примерных форм заключений, составленных в соответствии с международными стандартами аудита (версия 4/2019), одобренный Советом по аудиторской деятельности и размещенный на официальном Интернет-сайте Минфина России www.minfin.ru в разделе "Аудиторская деятельность - Стандарты и правила аудита - Разъяснения и рекомендации". Особое внимание необходимо обратить на примерные формы аудиторских заключений в </w:t>
      </w:r>
      <w:hyperlink r:id="rId9" w:history="1">
        <w:r>
          <w:rPr>
            <w:color w:val="0000FF"/>
          </w:rPr>
          <w:t>разделах 1.2.1</w:t>
        </w:r>
      </w:hyperlink>
      <w:r>
        <w:t xml:space="preserve"> "Годовая бухгалтерская отчетность организации, ценные бумаги которой допущены к организованным торгам (с ключевыми вопросами аудита), существенная неопределенность, адекватное раскрытие информации, немодифицированное мнение", </w:t>
      </w:r>
      <w:hyperlink r:id="rId10" w:history="1">
        <w:r>
          <w:rPr>
            <w:color w:val="0000FF"/>
          </w:rPr>
          <w:t>1.2.2</w:t>
        </w:r>
      </w:hyperlink>
      <w:r>
        <w:t xml:space="preserve"> "Годовая бухгалтерская отчетность, существенная неопределенность, неадекватное раскрытие информации, мнение с оговоркой", </w:t>
      </w:r>
      <w:hyperlink r:id="rId11" w:history="1">
        <w:r>
          <w:rPr>
            <w:color w:val="0000FF"/>
          </w:rPr>
          <w:t>1.2.3</w:t>
        </w:r>
      </w:hyperlink>
      <w:r>
        <w:t xml:space="preserve"> "Годовая бухгалтерская отчетность, существенная неопределенность, информация не раскрыта, отрицательное мнение". Дополнительно в </w:t>
      </w:r>
      <w:hyperlink w:anchor="P23" w:history="1">
        <w:r>
          <w:rPr>
            <w:color w:val="0000FF"/>
          </w:rPr>
          <w:t>приложении</w:t>
        </w:r>
      </w:hyperlink>
      <w:r>
        <w:t xml:space="preserve"> к настоящему письму приведена примерная форма аудиторского заключения, составленного в отношении годовой бухгалтерской отчетности при наличии существенной неопределенности по поводу способности аудируемого лица продолжать непрерывно свою деятельность в условиях распространения новой коронавирусной инфекции, разработанная Комиссией по регулированию аудиторской деятельности Рабочего органа Совета по аудиторской деятельности. Примерные формы аудиторских заключений используются с учетом конкретных обстоятельств аудиторских заданий, особенностей аудируемого лица, фактов и условий его финансово-хозяйственной деятельности и состояния законодательства Российской Федерации.</w:t>
      </w:r>
    </w:p>
    <w:p w:rsidR="008774AC" w:rsidRDefault="008774AC">
      <w:pPr>
        <w:pStyle w:val="ConsPlusNormal"/>
        <w:spacing w:before="220"/>
        <w:ind w:firstLine="540"/>
        <w:jc w:val="both"/>
      </w:pPr>
      <w:r>
        <w:t>Одновременно информируем, что на Интернет-сайте Международной федерации бухгалтеров https://www.iaasb.org/focus-areas/guidance-auditors-during-coronavirus-pandemic начата публикация методических материалов по вопросам организации и осуществления аудиторской деятельности в условиях распространения новой коронавирусной инфекции.</w:t>
      </w:r>
    </w:p>
    <w:p w:rsidR="008774AC" w:rsidRDefault="008774AC">
      <w:pPr>
        <w:pStyle w:val="ConsPlusNormal"/>
        <w:jc w:val="both"/>
      </w:pPr>
    </w:p>
    <w:p w:rsidR="008774AC" w:rsidRDefault="008774AC">
      <w:pPr>
        <w:pStyle w:val="ConsPlusNormal"/>
        <w:jc w:val="right"/>
      </w:pPr>
      <w:r>
        <w:t>Директор Департамента</w:t>
      </w:r>
    </w:p>
    <w:p w:rsidR="008774AC" w:rsidRDefault="008774AC">
      <w:pPr>
        <w:pStyle w:val="ConsPlusNormal"/>
        <w:jc w:val="right"/>
      </w:pPr>
      <w:r>
        <w:t>Л.З.ШНЕЙДМАН</w:t>
      </w:r>
    </w:p>
    <w:p w:rsidR="008774AC" w:rsidRDefault="008774AC">
      <w:pPr>
        <w:pStyle w:val="ConsPlusNormal"/>
        <w:jc w:val="both"/>
      </w:pPr>
    </w:p>
    <w:p w:rsidR="008774AC" w:rsidRDefault="008774AC">
      <w:pPr>
        <w:pStyle w:val="ConsPlusNormal"/>
        <w:jc w:val="both"/>
      </w:pPr>
    </w:p>
    <w:p w:rsidR="008774AC" w:rsidRDefault="008774AC">
      <w:pPr>
        <w:pStyle w:val="ConsPlusNormal"/>
        <w:jc w:val="both"/>
      </w:pPr>
    </w:p>
    <w:p w:rsidR="008774AC" w:rsidRDefault="008774AC">
      <w:pPr>
        <w:pStyle w:val="ConsPlusNormal"/>
        <w:jc w:val="both"/>
      </w:pPr>
    </w:p>
    <w:p w:rsidR="008774AC" w:rsidRDefault="008774AC">
      <w:pPr>
        <w:pStyle w:val="ConsPlusNormal"/>
        <w:jc w:val="both"/>
      </w:pPr>
    </w:p>
    <w:p w:rsidR="008774AC" w:rsidRDefault="008774AC">
      <w:pPr>
        <w:pStyle w:val="ConsPlusNormal"/>
        <w:jc w:val="right"/>
        <w:outlineLvl w:val="0"/>
      </w:pPr>
      <w:r>
        <w:t>Приложение</w:t>
      </w:r>
    </w:p>
    <w:p w:rsidR="008774AC" w:rsidRDefault="008774AC">
      <w:pPr>
        <w:pStyle w:val="ConsPlusNormal"/>
        <w:jc w:val="right"/>
      </w:pPr>
      <w:r>
        <w:t>к письму</w:t>
      </w:r>
    </w:p>
    <w:p w:rsidR="008774AC" w:rsidRDefault="008774AC">
      <w:pPr>
        <w:pStyle w:val="ConsPlusNormal"/>
        <w:jc w:val="right"/>
      </w:pPr>
      <w:r>
        <w:t>от 07.04.2020 N 07-02-09/27403</w:t>
      </w:r>
    </w:p>
    <w:p w:rsidR="008774AC" w:rsidRDefault="008774AC">
      <w:pPr>
        <w:pStyle w:val="ConsPlusNormal"/>
        <w:jc w:val="both"/>
      </w:pPr>
    </w:p>
    <w:p w:rsidR="008774AC" w:rsidRDefault="008774AC">
      <w:pPr>
        <w:pStyle w:val="ConsPlusNormal"/>
        <w:jc w:val="center"/>
      </w:pPr>
      <w:bookmarkStart w:id="0" w:name="P23"/>
      <w:bookmarkEnd w:id="0"/>
      <w:r>
        <w:t>ПРИМЕРНАЯ ФОРМА АУДИТОРСКОГО ЗАКЛЮЧЕНИЯ</w:t>
      </w:r>
    </w:p>
    <w:p w:rsidR="008774AC" w:rsidRDefault="008774AC">
      <w:pPr>
        <w:pStyle w:val="ConsPlusNormal"/>
        <w:jc w:val="both"/>
      </w:pPr>
    </w:p>
    <w:p w:rsidR="008774AC" w:rsidRDefault="008774AC">
      <w:pPr>
        <w:pStyle w:val="ConsPlusNormal"/>
        <w:jc w:val="center"/>
        <w:outlineLvl w:val="1"/>
      </w:pPr>
      <w:r>
        <w:t>Годовая бухгалтерская отчетность, существенная</w:t>
      </w:r>
    </w:p>
    <w:p w:rsidR="008774AC" w:rsidRDefault="008774AC">
      <w:pPr>
        <w:pStyle w:val="ConsPlusNormal"/>
        <w:jc w:val="center"/>
      </w:pPr>
      <w:r>
        <w:t>неопределенность в условиях распространения коронавирусной</w:t>
      </w:r>
    </w:p>
    <w:p w:rsidR="008774AC" w:rsidRDefault="008774AC">
      <w:pPr>
        <w:pStyle w:val="ConsPlusNormal"/>
        <w:jc w:val="center"/>
      </w:pPr>
      <w:r>
        <w:t>инфекции, адекватное раскрытие информации,</w:t>
      </w:r>
    </w:p>
    <w:p w:rsidR="008774AC" w:rsidRDefault="008774AC">
      <w:pPr>
        <w:pStyle w:val="ConsPlusNormal"/>
        <w:jc w:val="center"/>
      </w:pPr>
      <w:r>
        <w:t>немодифицированное мнение</w:t>
      </w:r>
    </w:p>
    <w:p w:rsidR="008774AC" w:rsidRDefault="008774AC">
      <w:pPr>
        <w:pStyle w:val="ConsPlusNormal"/>
        <w:jc w:val="both"/>
      </w:pPr>
    </w:p>
    <w:p w:rsidR="008774AC" w:rsidRDefault="008774AC">
      <w:pPr>
        <w:pStyle w:val="ConsPlusNormal"/>
        <w:ind w:firstLine="540"/>
        <w:jc w:val="both"/>
      </w:pPr>
      <w:r>
        <w:t>[Аудиторское заключение составлено аудиторской организацией при следующих обстоятельствах:</w:t>
      </w:r>
    </w:p>
    <w:p w:rsidR="008774AC" w:rsidRDefault="008774AC">
      <w:pPr>
        <w:pStyle w:val="ConsPlusNormal"/>
        <w:spacing w:before="220"/>
        <w:ind w:firstLine="540"/>
        <w:jc w:val="both"/>
      </w:pPr>
      <w: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8774AC" w:rsidRDefault="008774AC">
      <w:pPr>
        <w:pStyle w:val="ConsPlusNormal"/>
        <w:spacing w:before="220"/>
        <w:ind w:firstLine="540"/>
        <w:jc w:val="both"/>
      </w:pPr>
      <w:r>
        <w:t xml:space="preserve">аудит проводился в отношении полного комплекта годовой бухгалтерской отчетности, состав которой установлен Федеральным </w:t>
      </w:r>
      <w:hyperlink r:id="rId12" w:history="1">
        <w:r>
          <w:rPr>
            <w:color w:val="0000FF"/>
          </w:rPr>
          <w:t>законом</w:t>
        </w:r>
      </w:hyperlink>
      <w:r>
        <w:t xml:space="preserve"> "О бухгалтерском учете";</w:t>
      </w:r>
    </w:p>
    <w:p w:rsidR="008774AC" w:rsidRDefault="008774AC">
      <w:pPr>
        <w:pStyle w:val="ConsPlusNormal"/>
        <w:spacing w:before="220"/>
        <w:ind w:firstLine="540"/>
        <w:jc w:val="both"/>
      </w:pPr>
      <w:r>
        <w:t>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8774AC" w:rsidRDefault="008774AC">
      <w:pPr>
        <w:pStyle w:val="ConsPlusNormal"/>
        <w:spacing w:before="220"/>
        <w:ind w:firstLine="540"/>
        <w:jc w:val="both"/>
      </w:pPr>
      <w:r>
        <w:t xml:space="preserve">прочая информация, определяемая согласно </w:t>
      </w:r>
      <w:hyperlink r:id="rId13" w:history="1">
        <w:r>
          <w:rPr>
            <w:color w:val="0000FF"/>
          </w:rPr>
          <w:t>МСА 720</w:t>
        </w:r>
      </w:hyperlink>
      <w:r>
        <w:t xml:space="preserve"> "Обязанности аудитора, относящиеся к прочей информации", не была получена до даты аудиторского заключения;</w:t>
      </w:r>
    </w:p>
    <w:p w:rsidR="008774AC" w:rsidRDefault="008774AC">
      <w:pPr>
        <w:pStyle w:val="ConsPlusNormal"/>
        <w:spacing w:before="220"/>
        <w:ind w:firstLine="540"/>
        <w:jc w:val="both"/>
      </w:pPr>
      <w:r>
        <w:t xml:space="preserve">при осуществлении аудита аудиторская организация руководствовалась: </w:t>
      </w:r>
      <w:hyperlink r:id="rId14" w:history="1">
        <w:r>
          <w:rPr>
            <w:color w:val="0000FF"/>
          </w:rPr>
          <w:t>Правилами</w:t>
        </w:r>
      </w:hyperlink>
      <w:r>
        <w:t xml:space="preserve">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15"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w:t>
      </w:r>
      <w:hyperlink r:id="rId16" w:history="1">
        <w:r>
          <w:rPr>
            <w:color w:val="0000FF"/>
          </w:rPr>
          <w:t>Кодексом</w:t>
        </w:r>
      </w:hyperlink>
      <w:r>
        <w:t xml:space="preserve"> профессиональной этики аудиторов, принятым саморегулируемой организацией аудиторов, членом которой она является, на основании </w:t>
      </w:r>
      <w:hyperlink r:id="rId17" w:history="1">
        <w:r>
          <w:rPr>
            <w:color w:val="0000FF"/>
          </w:rPr>
          <w:t>Кодекса</w:t>
        </w:r>
      </w:hyperlink>
      <w:r>
        <w:t xml:space="preserve"> профессиональной этики аудиторов, одобренного Советом по аудиторской деятельности;</w:t>
      </w:r>
    </w:p>
    <w:p w:rsidR="008774AC" w:rsidRDefault="008774AC">
      <w:pPr>
        <w:pStyle w:val="ConsPlusNormal"/>
        <w:spacing w:before="220"/>
        <w:ind w:firstLine="540"/>
        <w:jc w:val="both"/>
      </w:pPr>
      <w: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hyperlink r:id="rId18" w:history="1">
        <w:r>
          <w:rPr>
            <w:color w:val="0000FF"/>
          </w:rPr>
          <w:t>МСА 210</w:t>
        </w:r>
      </w:hyperlink>
      <w:r>
        <w:t xml:space="preserve"> "Согласование условий аудиторских заданий";</w:t>
      </w:r>
    </w:p>
    <w:p w:rsidR="008774AC" w:rsidRDefault="008774AC">
      <w:pPr>
        <w:pStyle w:val="ConsPlusNormal"/>
        <w:spacing w:before="220"/>
        <w:ind w:firstLine="540"/>
        <w:jc w:val="both"/>
      </w:pPr>
      <w:r>
        <w:t>на основании полученных аудиторских доказательств в отношении событий после отчетной даты аудиторская организация пришла к выводу о наличии существенной неопределенности в связи с распространением новой коронавирусной инфекции, в результате которой могут возникнуть значительные сомнения в способности организации продолжать непрерывно свою деятельность;</w:t>
      </w:r>
    </w:p>
    <w:p w:rsidR="008774AC" w:rsidRDefault="008774AC">
      <w:pPr>
        <w:pStyle w:val="ConsPlusNormal"/>
        <w:spacing w:before="220"/>
        <w:ind w:firstLine="540"/>
        <w:jc w:val="both"/>
      </w:pPr>
      <w:r>
        <w:t>в годовой бухгалтерской отчетности раскрыта адекватная информация о наличии существенной неопределенности;</w:t>
      </w:r>
    </w:p>
    <w:p w:rsidR="008774AC" w:rsidRDefault="008774AC">
      <w:pPr>
        <w:pStyle w:val="ConsPlusNormal"/>
        <w:spacing w:before="220"/>
        <w:ind w:firstLine="540"/>
        <w:jc w:val="both"/>
      </w:pPr>
      <w: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8774AC" w:rsidRDefault="008774AC">
      <w:pPr>
        <w:pStyle w:val="ConsPlusNormal"/>
        <w:spacing w:before="220"/>
        <w:ind w:firstLine="540"/>
        <w:jc w:val="both"/>
      </w:pPr>
      <w: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 &lt;1&gt;</w:t>
      </w:r>
    </w:p>
    <w:p w:rsidR="008774AC" w:rsidRDefault="008774AC">
      <w:pPr>
        <w:pStyle w:val="ConsPlusNormal"/>
        <w:spacing w:before="220"/>
        <w:ind w:firstLine="540"/>
        <w:jc w:val="both"/>
      </w:pPr>
      <w:r>
        <w:lastRenderedPageBreak/>
        <w:t>--------------------------------</w:t>
      </w:r>
    </w:p>
    <w:p w:rsidR="008774AC" w:rsidRDefault="008774AC">
      <w:pPr>
        <w:pStyle w:val="ConsPlusNormal"/>
        <w:spacing w:before="220"/>
        <w:ind w:firstLine="540"/>
        <w:jc w:val="both"/>
      </w:pPr>
      <w:r>
        <w:t>&lt;1&gt;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8774AC" w:rsidRDefault="008774AC">
      <w:pPr>
        <w:pStyle w:val="ConsPlusNormal"/>
        <w:jc w:val="both"/>
      </w:pPr>
    </w:p>
    <w:p w:rsidR="008774AC" w:rsidRDefault="008774AC">
      <w:pPr>
        <w:pStyle w:val="ConsPlusNormal"/>
        <w:jc w:val="center"/>
        <w:outlineLvl w:val="1"/>
      </w:pPr>
      <w:r>
        <w:t>АУДИТОРСКОЕ ЗАКЛЮЧЕНИЕ</w:t>
      </w:r>
    </w:p>
    <w:p w:rsidR="008774AC" w:rsidRDefault="008774AC">
      <w:pPr>
        <w:pStyle w:val="ConsPlusNormal"/>
        <w:jc w:val="both"/>
      </w:pPr>
    </w:p>
    <w:p w:rsidR="008774AC" w:rsidRDefault="008774AC">
      <w:pPr>
        <w:pStyle w:val="ConsPlusNormal"/>
        <w:jc w:val="right"/>
      </w:pPr>
      <w:r>
        <w:t>Акционерам акционерного общества "YYY"</w:t>
      </w:r>
    </w:p>
    <w:p w:rsidR="008774AC" w:rsidRDefault="008774AC">
      <w:pPr>
        <w:pStyle w:val="ConsPlusNormal"/>
        <w:jc w:val="both"/>
      </w:pPr>
    </w:p>
    <w:p w:rsidR="008774AC" w:rsidRDefault="008774AC">
      <w:pPr>
        <w:pStyle w:val="ConsPlusNormal"/>
        <w:jc w:val="center"/>
        <w:outlineLvl w:val="2"/>
      </w:pPr>
      <w:r>
        <w:t>Мнение</w:t>
      </w:r>
    </w:p>
    <w:p w:rsidR="008774AC" w:rsidRDefault="008774AC">
      <w:pPr>
        <w:pStyle w:val="ConsPlusNormal"/>
        <w:jc w:val="both"/>
      </w:pPr>
    </w:p>
    <w:p w:rsidR="008774AC" w:rsidRDefault="008774AC">
      <w:pPr>
        <w:pStyle w:val="ConsPlusNormal"/>
        <w:ind w:firstLine="540"/>
        <w:jc w:val="both"/>
      </w:pPr>
      <w:r>
        <w:t>Мы провели аудит прилагаемой годовой бухгалтерской отчетности акционерного общества "YYY" (ОГРН 8800000000000, 115621, Москва, улица Профсоюзная, дом 220), состоящей из бухгалтерского баланса по состоянию на 31 декабря 20xx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rsidR="008774AC" w:rsidRDefault="008774AC">
      <w:pPr>
        <w:pStyle w:val="ConsPlusNormal"/>
        <w:spacing w:before="220"/>
        <w:ind w:firstLine="540"/>
        <w:jc w:val="both"/>
      </w:pPr>
      <w:r>
        <w:t>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rsidR="008774AC" w:rsidRDefault="008774AC">
      <w:pPr>
        <w:pStyle w:val="ConsPlusNormal"/>
        <w:jc w:val="both"/>
      </w:pPr>
    </w:p>
    <w:p w:rsidR="008774AC" w:rsidRDefault="008774AC">
      <w:pPr>
        <w:pStyle w:val="ConsPlusNormal"/>
        <w:jc w:val="center"/>
        <w:outlineLvl w:val="2"/>
      </w:pPr>
      <w:r>
        <w:t>Основание для выражения мнения</w:t>
      </w:r>
    </w:p>
    <w:p w:rsidR="008774AC" w:rsidRDefault="008774AC">
      <w:pPr>
        <w:pStyle w:val="ConsPlusNormal"/>
        <w:jc w:val="both"/>
      </w:pPr>
    </w:p>
    <w:p w:rsidR="008774AC" w:rsidRDefault="008774AC">
      <w:pPr>
        <w:pStyle w:val="ConsPlusNormal"/>
        <w:ind w:firstLine="540"/>
        <w:jc w:val="both"/>
      </w:pPr>
      <w: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w:t>
      </w:r>
      <w:hyperlink r:id="rId19" w:history="1">
        <w:r>
          <w:rPr>
            <w:color w:val="0000FF"/>
          </w:rPr>
          <w:t>Правилами</w:t>
        </w:r>
      </w:hyperlink>
      <w:r>
        <w:t xml:space="preserve"> независимости аудиторов и аудиторских организаций и </w:t>
      </w:r>
      <w:hyperlink r:id="rId20" w:history="1">
        <w:r>
          <w:rPr>
            <w:color w:val="0000FF"/>
          </w:rPr>
          <w:t>Кодексом</w:t>
        </w:r>
      </w:hyperlink>
      <w:r>
        <w:t xml:space="preserve">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8774AC" w:rsidRDefault="008774AC">
      <w:pPr>
        <w:pStyle w:val="ConsPlusNormal"/>
        <w:jc w:val="both"/>
      </w:pPr>
    </w:p>
    <w:p w:rsidR="008774AC" w:rsidRDefault="008774AC">
      <w:pPr>
        <w:pStyle w:val="ConsPlusNormal"/>
        <w:jc w:val="center"/>
        <w:outlineLvl w:val="2"/>
      </w:pPr>
      <w:r>
        <w:t>Существенная неопределенность в отношении</w:t>
      </w:r>
    </w:p>
    <w:p w:rsidR="008774AC" w:rsidRDefault="008774AC">
      <w:pPr>
        <w:pStyle w:val="ConsPlusNormal"/>
        <w:jc w:val="center"/>
      </w:pPr>
      <w:r>
        <w:t>непрерывности деятельности</w:t>
      </w:r>
    </w:p>
    <w:p w:rsidR="008774AC" w:rsidRDefault="008774AC">
      <w:pPr>
        <w:pStyle w:val="ConsPlusNormal"/>
        <w:jc w:val="both"/>
      </w:pPr>
    </w:p>
    <w:p w:rsidR="008774AC" w:rsidRDefault="008774AC">
      <w:pPr>
        <w:pStyle w:val="ConsPlusNormal"/>
        <w:ind w:firstLine="540"/>
        <w:jc w:val="both"/>
      </w:pPr>
      <w:r>
        <w:t>Мы обращаем внимание на пояснение [X] к годовой бухгалтерской отчетности, в котором описаны факторы неопределенности в отношении продолжения акционерным обществом "YYY" деятельности в условиях распространения новой коронавирусной инфекции и связанных с этим экономических последствий. Как отмечается в пояснении [X] к годовой бухгалтерской отчетности, эти условия, наряду с другими обстоятельствами, изложенными в пояснении [X], указывают на наличие существенной неопределенности, которая может вызвать значительные сомнения в способности акционерного общества "YYY" продолжать непрерывно деятельность. Наше мнение не было модифицировано в связи с этим обстоятельством.</w:t>
      </w:r>
    </w:p>
    <w:p w:rsidR="008774AC" w:rsidRDefault="008774AC">
      <w:pPr>
        <w:pStyle w:val="ConsPlusNormal"/>
        <w:jc w:val="both"/>
      </w:pPr>
    </w:p>
    <w:p w:rsidR="008774AC" w:rsidRDefault="008774AC">
      <w:pPr>
        <w:pStyle w:val="ConsPlusNormal"/>
        <w:jc w:val="center"/>
        <w:outlineLvl w:val="2"/>
      </w:pPr>
      <w:r>
        <w:t>Ответственность руководства и [членов совета</w:t>
      </w:r>
    </w:p>
    <w:p w:rsidR="008774AC" w:rsidRDefault="008774AC">
      <w:pPr>
        <w:pStyle w:val="ConsPlusNormal"/>
        <w:jc w:val="center"/>
      </w:pPr>
      <w:r>
        <w:t>директоров] &lt;2&gt; аудируемого лица за годовую</w:t>
      </w:r>
    </w:p>
    <w:p w:rsidR="008774AC" w:rsidRDefault="008774AC">
      <w:pPr>
        <w:pStyle w:val="ConsPlusNormal"/>
        <w:jc w:val="center"/>
      </w:pPr>
      <w:r>
        <w:lastRenderedPageBreak/>
        <w:t>бухгалтерскую отчетность</w:t>
      </w:r>
    </w:p>
    <w:p w:rsidR="008774AC" w:rsidRDefault="008774AC">
      <w:pPr>
        <w:pStyle w:val="ConsPlusNormal"/>
        <w:jc w:val="both"/>
      </w:pPr>
    </w:p>
    <w:p w:rsidR="008774AC" w:rsidRDefault="008774AC">
      <w:pPr>
        <w:pStyle w:val="ConsPlusNormal"/>
        <w:ind w:firstLine="540"/>
        <w:jc w:val="both"/>
      </w:pPr>
      <w:r>
        <w:t>--------------------------------</w:t>
      </w:r>
    </w:p>
    <w:p w:rsidR="008774AC" w:rsidRDefault="008774AC">
      <w:pPr>
        <w:pStyle w:val="ConsPlusNormal"/>
        <w:spacing w:before="220"/>
        <w:ind w:firstLine="540"/>
        <w:jc w:val="both"/>
      </w:pPr>
      <w:r>
        <w:t>&lt;2&gt; Здесь и далее указываются лица, отвечающие за корпоративное управление аудируемого лица (члены совета директоров, наблюдательного совета, другие).</w:t>
      </w:r>
    </w:p>
    <w:p w:rsidR="008774AC" w:rsidRDefault="008774AC">
      <w:pPr>
        <w:pStyle w:val="ConsPlusNormal"/>
        <w:jc w:val="both"/>
      </w:pPr>
    </w:p>
    <w:p w:rsidR="008774AC" w:rsidRDefault="008774AC">
      <w:pPr>
        <w:pStyle w:val="ConsPlusNormal"/>
        <w:ind w:firstLine="540"/>
        <w:jc w:val="both"/>
      </w:pPr>
      <w: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8774AC" w:rsidRDefault="008774AC">
      <w:pPr>
        <w:pStyle w:val="ConsPlusNormal"/>
        <w:spacing w:before="220"/>
        <w:ind w:firstLine="540"/>
        <w:jc w:val="both"/>
      </w:pPr>
      <w: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8774AC" w:rsidRDefault="008774AC">
      <w:pPr>
        <w:pStyle w:val="ConsPlusNormal"/>
        <w:spacing w:before="220"/>
        <w:ind w:firstLine="540"/>
        <w:jc w:val="both"/>
      </w:pPr>
      <w:r>
        <w:t>[Члены совета директоров] несут ответственность за надзор за подготовкой годовой бухгалтерской отчетности аудируемого лица.</w:t>
      </w:r>
    </w:p>
    <w:p w:rsidR="008774AC" w:rsidRDefault="008774AC">
      <w:pPr>
        <w:pStyle w:val="ConsPlusNormal"/>
        <w:jc w:val="both"/>
      </w:pPr>
    </w:p>
    <w:p w:rsidR="008774AC" w:rsidRDefault="008774AC">
      <w:pPr>
        <w:pStyle w:val="ConsPlusNormal"/>
        <w:jc w:val="center"/>
        <w:outlineLvl w:val="2"/>
      </w:pPr>
      <w:r>
        <w:t>Ответственность аудитора за аудит годовой</w:t>
      </w:r>
    </w:p>
    <w:p w:rsidR="008774AC" w:rsidRDefault="008774AC">
      <w:pPr>
        <w:pStyle w:val="ConsPlusNormal"/>
        <w:jc w:val="center"/>
      </w:pPr>
      <w:r>
        <w:t>бухгалтерской отчетности</w:t>
      </w:r>
    </w:p>
    <w:p w:rsidR="008774AC" w:rsidRDefault="008774AC">
      <w:pPr>
        <w:pStyle w:val="ConsPlusNormal"/>
        <w:jc w:val="both"/>
      </w:pPr>
    </w:p>
    <w:p w:rsidR="008774AC" w:rsidRDefault="008774AC">
      <w:pPr>
        <w:pStyle w:val="ConsPlusNormal"/>
        <w:ind w:firstLine="540"/>
        <w:jc w:val="both"/>
      </w:pPr>
      <w: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8774AC" w:rsidRDefault="008774AC">
      <w:pPr>
        <w:pStyle w:val="ConsPlusNormal"/>
        <w:spacing w:before="220"/>
        <w:ind w:firstLine="540"/>
        <w:jc w:val="both"/>
      </w:pPr>
      <w: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8774AC" w:rsidRDefault="008774AC">
      <w:pPr>
        <w:pStyle w:val="ConsPlusNormal"/>
        <w:spacing w:before="220"/>
        <w:ind w:firstLine="540"/>
        <w:jc w:val="both"/>
      </w:pPr>
      <w: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8774AC" w:rsidRDefault="008774AC">
      <w:pPr>
        <w:pStyle w:val="ConsPlusNormal"/>
        <w:spacing w:before="220"/>
        <w:ind w:firstLine="540"/>
        <w:jc w:val="both"/>
      </w:pPr>
      <w: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8774AC" w:rsidRDefault="008774AC">
      <w:pPr>
        <w:pStyle w:val="ConsPlusNormal"/>
        <w:spacing w:before="220"/>
        <w:ind w:firstLine="540"/>
        <w:jc w:val="both"/>
      </w:pPr>
      <w:r>
        <w:t xml:space="preserve">в) оцениваем надлежащий характер применяемой учетной политики, обоснованность </w:t>
      </w:r>
      <w:r>
        <w:lastRenderedPageBreak/>
        <w:t>оценочных значений, рассчитанных руководством аудируемого лица, и соответствующего раскрытия информации;</w:t>
      </w:r>
    </w:p>
    <w:p w:rsidR="008774AC" w:rsidRDefault="008774AC">
      <w:pPr>
        <w:pStyle w:val="ConsPlusNormal"/>
        <w:spacing w:before="220"/>
        <w:ind w:firstLine="540"/>
        <w:jc w:val="both"/>
      </w:pPr>
      <w: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8774AC" w:rsidRDefault="008774AC">
      <w:pPr>
        <w:pStyle w:val="ConsPlusNormal"/>
        <w:spacing w:before="220"/>
        <w:ind w:firstLine="540"/>
        <w:jc w:val="both"/>
      </w:pPr>
      <w: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8774AC" w:rsidRDefault="008774AC">
      <w:pPr>
        <w:pStyle w:val="ConsPlusNormal"/>
        <w:spacing w:before="220"/>
        <w:ind w:firstLine="540"/>
        <w:jc w:val="both"/>
      </w:pPr>
      <w: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8774AC" w:rsidRDefault="0087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40"/>
        <w:gridCol w:w="1361"/>
        <w:gridCol w:w="340"/>
        <w:gridCol w:w="2832"/>
      </w:tblGrid>
      <w:tr w:rsidR="008774AC">
        <w:tc>
          <w:tcPr>
            <w:tcW w:w="4195" w:type="dxa"/>
            <w:vMerge w:val="restart"/>
            <w:tcBorders>
              <w:top w:val="nil"/>
              <w:left w:val="nil"/>
              <w:bottom w:val="nil"/>
              <w:right w:val="nil"/>
            </w:tcBorders>
          </w:tcPr>
          <w:p w:rsidR="008774AC" w:rsidRDefault="008774AC">
            <w:pPr>
              <w:pStyle w:val="ConsPlusNormal"/>
              <w:jc w:val="both"/>
            </w:pPr>
            <w:r>
              <w:t>Руководитель задания по аудиту,</w:t>
            </w:r>
          </w:p>
          <w:p w:rsidR="008774AC" w:rsidRDefault="008774AC">
            <w:pPr>
              <w:pStyle w:val="ConsPlusNormal"/>
              <w:jc w:val="both"/>
            </w:pPr>
            <w:r>
              <w:t>по результатам которого составлено</w:t>
            </w:r>
          </w:p>
          <w:p w:rsidR="008774AC" w:rsidRDefault="008774AC">
            <w:pPr>
              <w:pStyle w:val="ConsPlusNormal"/>
              <w:jc w:val="both"/>
            </w:pPr>
            <w:r>
              <w:t>аудиторское заключение</w:t>
            </w:r>
          </w:p>
        </w:tc>
        <w:tc>
          <w:tcPr>
            <w:tcW w:w="340" w:type="dxa"/>
            <w:vMerge w:val="restart"/>
            <w:tcBorders>
              <w:top w:val="nil"/>
              <w:left w:val="nil"/>
              <w:bottom w:val="nil"/>
              <w:right w:val="nil"/>
            </w:tcBorders>
          </w:tcPr>
          <w:p w:rsidR="008774AC" w:rsidRDefault="008774AC">
            <w:pPr>
              <w:pStyle w:val="ConsPlusNormal"/>
            </w:pPr>
          </w:p>
        </w:tc>
        <w:tc>
          <w:tcPr>
            <w:tcW w:w="1361" w:type="dxa"/>
            <w:tcBorders>
              <w:top w:val="nil"/>
              <w:left w:val="nil"/>
              <w:bottom w:val="nil"/>
              <w:right w:val="nil"/>
            </w:tcBorders>
          </w:tcPr>
          <w:p w:rsidR="008774AC" w:rsidRDefault="008774AC">
            <w:pPr>
              <w:pStyle w:val="ConsPlusNormal"/>
            </w:pPr>
          </w:p>
        </w:tc>
        <w:tc>
          <w:tcPr>
            <w:tcW w:w="340" w:type="dxa"/>
            <w:vMerge w:val="restart"/>
            <w:tcBorders>
              <w:top w:val="nil"/>
              <w:left w:val="nil"/>
              <w:bottom w:val="nil"/>
              <w:right w:val="nil"/>
            </w:tcBorders>
          </w:tcPr>
          <w:p w:rsidR="008774AC" w:rsidRDefault="008774AC">
            <w:pPr>
              <w:pStyle w:val="ConsPlusNormal"/>
            </w:pPr>
          </w:p>
        </w:tc>
        <w:tc>
          <w:tcPr>
            <w:tcW w:w="2832" w:type="dxa"/>
            <w:tcBorders>
              <w:top w:val="nil"/>
              <w:left w:val="nil"/>
              <w:bottom w:val="nil"/>
              <w:right w:val="nil"/>
            </w:tcBorders>
          </w:tcPr>
          <w:p w:rsidR="008774AC" w:rsidRDefault="008774AC">
            <w:pPr>
              <w:pStyle w:val="ConsPlusNormal"/>
            </w:pPr>
          </w:p>
        </w:tc>
      </w:tr>
      <w:tr w:rsidR="008774AC">
        <w:tc>
          <w:tcPr>
            <w:tcW w:w="4195" w:type="dxa"/>
            <w:vMerge/>
            <w:tcBorders>
              <w:top w:val="nil"/>
              <w:left w:val="nil"/>
              <w:bottom w:val="nil"/>
              <w:right w:val="nil"/>
            </w:tcBorders>
          </w:tcPr>
          <w:p w:rsidR="008774AC" w:rsidRDefault="008774AC"/>
        </w:tc>
        <w:tc>
          <w:tcPr>
            <w:tcW w:w="340" w:type="dxa"/>
            <w:vMerge/>
            <w:tcBorders>
              <w:top w:val="nil"/>
              <w:left w:val="nil"/>
              <w:bottom w:val="nil"/>
              <w:right w:val="nil"/>
            </w:tcBorders>
          </w:tcPr>
          <w:p w:rsidR="008774AC" w:rsidRDefault="008774AC"/>
        </w:tc>
        <w:tc>
          <w:tcPr>
            <w:tcW w:w="1361" w:type="dxa"/>
            <w:tcBorders>
              <w:top w:val="nil"/>
              <w:left w:val="nil"/>
              <w:bottom w:val="nil"/>
              <w:right w:val="nil"/>
            </w:tcBorders>
            <w:vAlign w:val="bottom"/>
          </w:tcPr>
          <w:p w:rsidR="008774AC" w:rsidRDefault="008774AC">
            <w:pPr>
              <w:pStyle w:val="ConsPlusNormal"/>
              <w:jc w:val="center"/>
            </w:pPr>
            <w:r>
              <w:t>[подпись]</w:t>
            </w:r>
          </w:p>
        </w:tc>
        <w:tc>
          <w:tcPr>
            <w:tcW w:w="340" w:type="dxa"/>
            <w:vMerge/>
            <w:tcBorders>
              <w:top w:val="nil"/>
              <w:left w:val="nil"/>
              <w:bottom w:val="nil"/>
              <w:right w:val="nil"/>
            </w:tcBorders>
          </w:tcPr>
          <w:p w:rsidR="008774AC" w:rsidRDefault="008774AC"/>
        </w:tc>
        <w:tc>
          <w:tcPr>
            <w:tcW w:w="2832" w:type="dxa"/>
            <w:tcBorders>
              <w:top w:val="nil"/>
              <w:left w:val="nil"/>
              <w:bottom w:val="nil"/>
              <w:right w:val="nil"/>
            </w:tcBorders>
            <w:vAlign w:val="bottom"/>
          </w:tcPr>
          <w:p w:rsidR="008774AC" w:rsidRDefault="008774AC">
            <w:pPr>
              <w:pStyle w:val="ConsPlusNormal"/>
              <w:jc w:val="center"/>
            </w:pPr>
            <w:r>
              <w:t>Инициалы, фамилия</w:t>
            </w:r>
          </w:p>
        </w:tc>
      </w:tr>
      <w:tr w:rsidR="008774AC">
        <w:tc>
          <w:tcPr>
            <w:tcW w:w="9068" w:type="dxa"/>
            <w:gridSpan w:val="5"/>
            <w:tcBorders>
              <w:top w:val="nil"/>
              <w:left w:val="nil"/>
              <w:bottom w:val="nil"/>
              <w:right w:val="nil"/>
            </w:tcBorders>
          </w:tcPr>
          <w:p w:rsidR="008774AC" w:rsidRDefault="008774AC">
            <w:pPr>
              <w:pStyle w:val="ConsPlusNormal"/>
              <w:jc w:val="both"/>
            </w:pPr>
            <w:r>
              <w:t>Аудиторская организация:</w:t>
            </w:r>
          </w:p>
          <w:p w:rsidR="008774AC" w:rsidRDefault="008774AC">
            <w:pPr>
              <w:pStyle w:val="ConsPlusNormal"/>
              <w:jc w:val="both"/>
            </w:pPr>
            <w:r>
              <w:t>акционерное общество "ZZZ",</w:t>
            </w:r>
          </w:p>
          <w:p w:rsidR="008774AC" w:rsidRDefault="008774AC">
            <w:pPr>
              <w:pStyle w:val="ConsPlusNormal"/>
              <w:jc w:val="both"/>
            </w:pPr>
            <w:r>
              <w:t>ОГРН 9900000000000,</w:t>
            </w:r>
          </w:p>
          <w:p w:rsidR="008774AC" w:rsidRDefault="008774AC">
            <w:pPr>
              <w:pStyle w:val="ConsPlusNormal"/>
              <w:jc w:val="both"/>
            </w:pPr>
            <w:r>
              <w:t>111421, Москва, улица Королева, дом 101,</w:t>
            </w:r>
          </w:p>
          <w:p w:rsidR="008774AC" w:rsidRDefault="008774AC">
            <w:pPr>
              <w:pStyle w:val="ConsPlusNormal"/>
              <w:jc w:val="both"/>
            </w:pPr>
            <w:r>
              <w:t>член саморегулируемой организации аудиторов "NNN",</w:t>
            </w:r>
          </w:p>
          <w:p w:rsidR="008774AC" w:rsidRDefault="008774AC">
            <w:pPr>
              <w:pStyle w:val="ConsPlusNormal"/>
              <w:jc w:val="both"/>
            </w:pPr>
            <w:r>
              <w:t>ОРНЗ 01234567890.</w:t>
            </w:r>
          </w:p>
        </w:tc>
      </w:tr>
    </w:tbl>
    <w:p w:rsidR="008774AC" w:rsidRDefault="008774AC">
      <w:pPr>
        <w:pStyle w:val="ConsPlusNormal"/>
        <w:jc w:val="both"/>
      </w:pPr>
    </w:p>
    <w:p w:rsidR="008774AC" w:rsidRDefault="008774AC">
      <w:pPr>
        <w:pStyle w:val="ConsPlusNormal"/>
        <w:jc w:val="both"/>
      </w:pPr>
    </w:p>
    <w:p w:rsidR="008774AC" w:rsidRDefault="008774AC">
      <w:pPr>
        <w:pStyle w:val="ConsPlusNormal"/>
        <w:pBdr>
          <w:top w:val="single" w:sz="6" w:space="0" w:color="auto"/>
        </w:pBdr>
        <w:spacing w:before="100" w:after="100"/>
        <w:jc w:val="both"/>
        <w:rPr>
          <w:sz w:val="2"/>
          <w:szCs w:val="2"/>
        </w:rPr>
      </w:pPr>
    </w:p>
    <w:p w:rsidR="00D30B4D" w:rsidRDefault="00D30B4D">
      <w:bookmarkStart w:id="1" w:name="_GoBack"/>
      <w:bookmarkEnd w:id="1"/>
    </w:p>
    <w:sectPr w:rsidR="00D30B4D" w:rsidSect="00BA0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AC"/>
    <w:rsid w:val="00007BD4"/>
    <w:rsid w:val="00011335"/>
    <w:rsid w:val="0002011F"/>
    <w:rsid w:val="00034419"/>
    <w:rsid w:val="000456B5"/>
    <w:rsid w:val="00060109"/>
    <w:rsid w:val="0006343F"/>
    <w:rsid w:val="000655FA"/>
    <w:rsid w:val="00070E46"/>
    <w:rsid w:val="00074021"/>
    <w:rsid w:val="0008029D"/>
    <w:rsid w:val="00083E4E"/>
    <w:rsid w:val="000937E0"/>
    <w:rsid w:val="00097C69"/>
    <w:rsid w:val="000A2878"/>
    <w:rsid w:val="000A4F86"/>
    <w:rsid w:val="000B0B75"/>
    <w:rsid w:val="000B2B7F"/>
    <w:rsid w:val="000B32F4"/>
    <w:rsid w:val="000B5FBC"/>
    <w:rsid w:val="000B7315"/>
    <w:rsid w:val="000C445B"/>
    <w:rsid w:val="000D2E57"/>
    <w:rsid w:val="000D54E2"/>
    <w:rsid w:val="001142F7"/>
    <w:rsid w:val="001306A3"/>
    <w:rsid w:val="001509FB"/>
    <w:rsid w:val="001524B1"/>
    <w:rsid w:val="001554AB"/>
    <w:rsid w:val="001732AF"/>
    <w:rsid w:val="00180101"/>
    <w:rsid w:val="001844BD"/>
    <w:rsid w:val="00184976"/>
    <w:rsid w:val="00193A9E"/>
    <w:rsid w:val="001950E1"/>
    <w:rsid w:val="00196739"/>
    <w:rsid w:val="001A4462"/>
    <w:rsid w:val="001B5662"/>
    <w:rsid w:val="001B62C2"/>
    <w:rsid w:val="001B6544"/>
    <w:rsid w:val="001C4F27"/>
    <w:rsid w:val="001D2C45"/>
    <w:rsid w:val="001D4827"/>
    <w:rsid w:val="001D68AD"/>
    <w:rsid w:val="001D765D"/>
    <w:rsid w:val="001D7ED4"/>
    <w:rsid w:val="001E0B60"/>
    <w:rsid w:val="001E1286"/>
    <w:rsid w:val="001E2711"/>
    <w:rsid w:val="001F16E1"/>
    <w:rsid w:val="001F32BE"/>
    <w:rsid w:val="001F6486"/>
    <w:rsid w:val="001F73F9"/>
    <w:rsid w:val="00210167"/>
    <w:rsid w:val="00217BC7"/>
    <w:rsid w:val="00242AA5"/>
    <w:rsid w:val="002469CA"/>
    <w:rsid w:val="0025384A"/>
    <w:rsid w:val="00260117"/>
    <w:rsid w:val="00271F5D"/>
    <w:rsid w:val="00274EDD"/>
    <w:rsid w:val="002841CB"/>
    <w:rsid w:val="00286180"/>
    <w:rsid w:val="00294305"/>
    <w:rsid w:val="002978B2"/>
    <w:rsid w:val="002A1AD8"/>
    <w:rsid w:val="002A2EDC"/>
    <w:rsid w:val="002B1DB2"/>
    <w:rsid w:val="002B2678"/>
    <w:rsid w:val="002B3ED6"/>
    <w:rsid w:val="002C12C9"/>
    <w:rsid w:val="002C3D33"/>
    <w:rsid w:val="002D2EB4"/>
    <w:rsid w:val="002D7F93"/>
    <w:rsid w:val="002F0BD1"/>
    <w:rsid w:val="002F40C0"/>
    <w:rsid w:val="00311695"/>
    <w:rsid w:val="00311C2B"/>
    <w:rsid w:val="00313C26"/>
    <w:rsid w:val="00314EF9"/>
    <w:rsid w:val="00315500"/>
    <w:rsid w:val="003222B5"/>
    <w:rsid w:val="00323547"/>
    <w:rsid w:val="0033149B"/>
    <w:rsid w:val="00331BE2"/>
    <w:rsid w:val="00335038"/>
    <w:rsid w:val="00341799"/>
    <w:rsid w:val="00353D49"/>
    <w:rsid w:val="0036094F"/>
    <w:rsid w:val="0036570F"/>
    <w:rsid w:val="00365990"/>
    <w:rsid w:val="00365A0F"/>
    <w:rsid w:val="0036748F"/>
    <w:rsid w:val="0036776B"/>
    <w:rsid w:val="00376C8B"/>
    <w:rsid w:val="00387659"/>
    <w:rsid w:val="003931A3"/>
    <w:rsid w:val="00393411"/>
    <w:rsid w:val="003B5A68"/>
    <w:rsid w:val="003C6ADA"/>
    <w:rsid w:val="003D05AD"/>
    <w:rsid w:val="003D1906"/>
    <w:rsid w:val="003D5A8D"/>
    <w:rsid w:val="003E6B46"/>
    <w:rsid w:val="003F130F"/>
    <w:rsid w:val="003F5F82"/>
    <w:rsid w:val="00400935"/>
    <w:rsid w:val="00401363"/>
    <w:rsid w:val="00401CAD"/>
    <w:rsid w:val="00404F95"/>
    <w:rsid w:val="004113B2"/>
    <w:rsid w:val="00415AB4"/>
    <w:rsid w:val="00424E94"/>
    <w:rsid w:val="0043550D"/>
    <w:rsid w:val="00437D71"/>
    <w:rsid w:val="00452241"/>
    <w:rsid w:val="00456570"/>
    <w:rsid w:val="00457331"/>
    <w:rsid w:val="0047454F"/>
    <w:rsid w:val="0049150E"/>
    <w:rsid w:val="004946F2"/>
    <w:rsid w:val="00494CD7"/>
    <w:rsid w:val="00495977"/>
    <w:rsid w:val="00496DFC"/>
    <w:rsid w:val="004A147D"/>
    <w:rsid w:val="004A430C"/>
    <w:rsid w:val="004B3C20"/>
    <w:rsid w:val="004E0BC6"/>
    <w:rsid w:val="004E2662"/>
    <w:rsid w:val="004F179C"/>
    <w:rsid w:val="004F76A3"/>
    <w:rsid w:val="00515F9D"/>
    <w:rsid w:val="0052036C"/>
    <w:rsid w:val="00520C0C"/>
    <w:rsid w:val="00522D9F"/>
    <w:rsid w:val="005430B6"/>
    <w:rsid w:val="00546F65"/>
    <w:rsid w:val="00551150"/>
    <w:rsid w:val="005566FD"/>
    <w:rsid w:val="0056448C"/>
    <w:rsid w:val="0057701A"/>
    <w:rsid w:val="005915B6"/>
    <w:rsid w:val="00597339"/>
    <w:rsid w:val="005A5ECF"/>
    <w:rsid w:val="005B360B"/>
    <w:rsid w:val="005C6497"/>
    <w:rsid w:val="005E2D36"/>
    <w:rsid w:val="005E51F4"/>
    <w:rsid w:val="005E7EB1"/>
    <w:rsid w:val="005F6C54"/>
    <w:rsid w:val="00604153"/>
    <w:rsid w:val="00606CB0"/>
    <w:rsid w:val="00607616"/>
    <w:rsid w:val="006155C7"/>
    <w:rsid w:val="00635927"/>
    <w:rsid w:val="00640B1E"/>
    <w:rsid w:val="00642C8F"/>
    <w:rsid w:val="00647BB2"/>
    <w:rsid w:val="00666357"/>
    <w:rsid w:val="00673373"/>
    <w:rsid w:val="00674D4A"/>
    <w:rsid w:val="00677694"/>
    <w:rsid w:val="00694363"/>
    <w:rsid w:val="006B4752"/>
    <w:rsid w:val="006C1CBD"/>
    <w:rsid w:val="006C332D"/>
    <w:rsid w:val="006C6424"/>
    <w:rsid w:val="006D666D"/>
    <w:rsid w:val="006E5B54"/>
    <w:rsid w:val="006F2E51"/>
    <w:rsid w:val="00701E5A"/>
    <w:rsid w:val="00702CB9"/>
    <w:rsid w:val="00703BE1"/>
    <w:rsid w:val="00704031"/>
    <w:rsid w:val="007225A6"/>
    <w:rsid w:val="00726B75"/>
    <w:rsid w:val="00737B8F"/>
    <w:rsid w:val="007408EA"/>
    <w:rsid w:val="00742F76"/>
    <w:rsid w:val="00757715"/>
    <w:rsid w:val="00771FD2"/>
    <w:rsid w:val="00772EEA"/>
    <w:rsid w:val="00773A77"/>
    <w:rsid w:val="007744AD"/>
    <w:rsid w:val="00783FD6"/>
    <w:rsid w:val="007A46F3"/>
    <w:rsid w:val="007A46FB"/>
    <w:rsid w:val="007C01E3"/>
    <w:rsid w:val="007C65BF"/>
    <w:rsid w:val="007F22AE"/>
    <w:rsid w:val="00800C97"/>
    <w:rsid w:val="00812C4F"/>
    <w:rsid w:val="00817D44"/>
    <w:rsid w:val="00821ADC"/>
    <w:rsid w:val="008327F1"/>
    <w:rsid w:val="00843861"/>
    <w:rsid w:val="00844F53"/>
    <w:rsid w:val="008474D8"/>
    <w:rsid w:val="00847535"/>
    <w:rsid w:val="00853330"/>
    <w:rsid w:val="00855BA2"/>
    <w:rsid w:val="00855DDB"/>
    <w:rsid w:val="0086286E"/>
    <w:rsid w:val="0086374F"/>
    <w:rsid w:val="00864B6E"/>
    <w:rsid w:val="0087042A"/>
    <w:rsid w:val="00872B72"/>
    <w:rsid w:val="00875D55"/>
    <w:rsid w:val="008774AC"/>
    <w:rsid w:val="008778BE"/>
    <w:rsid w:val="00883892"/>
    <w:rsid w:val="00892248"/>
    <w:rsid w:val="008A1359"/>
    <w:rsid w:val="008A2E25"/>
    <w:rsid w:val="008B0A50"/>
    <w:rsid w:val="008B313A"/>
    <w:rsid w:val="008B42FF"/>
    <w:rsid w:val="008B5A03"/>
    <w:rsid w:val="008C1F49"/>
    <w:rsid w:val="008D1106"/>
    <w:rsid w:val="008E3A26"/>
    <w:rsid w:val="008F014E"/>
    <w:rsid w:val="008F0214"/>
    <w:rsid w:val="008F4114"/>
    <w:rsid w:val="008F4B25"/>
    <w:rsid w:val="008F5949"/>
    <w:rsid w:val="008F72DF"/>
    <w:rsid w:val="00904DD2"/>
    <w:rsid w:val="00911E92"/>
    <w:rsid w:val="00926815"/>
    <w:rsid w:val="00932682"/>
    <w:rsid w:val="0093410C"/>
    <w:rsid w:val="00950F7A"/>
    <w:rsid w:val="009524DB"/>
    <w:rsid w:val="0095632B"/>
    <w:rsid w:val="00965162"/>
    <w:rsid w:val="00966A7D"/>
    <w:rsid w:val="00990CB8"/>
    <w:rsid w:val="009A3BFD"/>
    <w:rsid w:val="009A61AF"/>
    <w:rsid w:val="009B10C4"/>
    <w:rsid w:val="009C1831"/>
    <w:rsid w:val="009E3C8A"/>
    <w:rsid w:val="009E5022"/>
    <w:rsid w:val="009F1815"/>
    <w:rsid w:val="009F564D"/>
    <w:rsid w:val="009F7B8E"/>
    <w:rsid w:val="00A0537B"/>
    <w:rsid w:val="00A11583"/>
    <w:rsid w:val="00A42E49"/>
    <w:rsid w:val="00A440D9"/>
    <w:rsid w:val="00A45C44"/>
    <w:rsid w:val="00A51459"/>
    <w:rsid w:val="00A625D3"/>
    <w:rsid w:val="00A80F4B"/>
    <w:rsid w:val="00A81C2C"/>
    <w:rsid w:val="00A82072"/>
    <w:rsid w:val="00A9149C"/>
    <w:rsid w:val="00A9174B"/>
    <w:rsid w:val="00A93228"/>
    <w:rsid w:val="00AA1EA8"/>
    <w:rsid w:val="00AA385A"/>
    <w:rsid w:val="00AA485B"/>
    <w:rsid w:val="00AB799C"/>
    <w:rsid w:val="00AC428F"/>
    <w:rsid w:val="00AC7C0F"/>
    <w:rsid w:val="00AF7C07"/>
    <w:rsid w:val="00B00F6B"/>
    <w:rsid w:val="00B04866"/>
    <w:rsid w:val="00B056F6"/>
    <w:rsid w:val="00B1425E"/>
    <w:rsid w:val="00B209DD"/>
    <w:rsid w:val="00B20B3B"/>
    <w:rsid w:val="00B21047"/>
    <w:rsid w:val="00B26D38"/>
    <w:rsid w:val="00B27F2A"/>
    <w:rsid w:val="00B34D92"/>
    <w:rsid w:val="00B437B6"/>
    <w:rsid w:val="00B5392E"/>
    <w:rsid w:val="00B554BB"/>
    <w:rsid w:val="00B6542B"/>
    <w:rsid w:val="00B65AA3"/>
    <w:rsid w:val="00B6707F"/>
    <w:rsid w:val="00B73A90"/>
    <w:rsid w:val="00B74B9B"/>
    <w:rsid w:val="00B93581"/>
    <w:rsid w:val="00B97AC3"/>
    <w:rsid w:val="00BC0500"/>
    <w:rsid w:val="00BD26E4"/>
    <w:rsid w:val="00BD7F6C"/>
    <w:rsid w:val="00BE4007"/>
    <w:rsid w:val="00BF1390"/>
    <w:rsid w:val="00BF1C85"/>
    <w:rsid w:val="00C036A6"/>
    <w:rsid w:val="00C03820"/>
    <w:rsid w:val="00C068D3"/>
    <w:rsid w:val="00C128AB"/>
    <w:rsid w:val="00C22C6B"/>
    <w:rsid w:val="00C26AE9"/>
    <w:rsid w:val="00C27A4B"/>
    <w:rsid w:val="00C31302"/>
    <w:rsid w:val="00C40568"/>
    <w:rsid w:val="00C47EDF"/>
    <w:rsid w:val="00C52BE6"/>
    <w:rsid w:val="00C55747"/>
    <w:rsid w:val="00C60D7F"/>
    <w:rsid w:val="00C624FD"/>
    <w:rsid w:val="00C636FA"/>
    <w:rsid w:val="00C709A4"/>
    <w:rsid w:val="00C77455"/>
    <w:rsid w:val="00C83393"/>
    <w:rsid w:val="00C83D88"/>
    <w:rsid w:val="00C84DA7"/>
    <w:rsid w:val="00C878FE"/>
    <w:rsid w:val="00C93F28"/>
    <w:rsid w:val="00C94150"/>
    <w:rsid w:val="00C94D52"/>
    <w:rsid w:val="00CA1A8A"/>
    <w:rsid w:val="00CA7F19"/>
    <w:rsid w:val="00CB0E07"/>
    <w:rsid w:val="00CB262D"/>
    <w:rsid w:val="00CB2E31"/>
    <w:rsid w:val="00CB4F17"/>
    <w:rsid w:val="00CB630C"/>
    <w:rsid w:val="00CC3AE8"/>
    <w:rsid w:val="00CF7C34"/>
    <w:rsid w:val="00D002E4"/>
    <w:rsid w:val="00D05FC3"/>
    <w:rsid w:val="00D06218"/>
    <w:rsid w:val="00D10A6C"/>
    <w:rsid w:val="00D13455"/>
    <w:rsid w:val="00D13FFF"/>
    <w:rsid w:val="00D14DEE"/>
    <w:rsid w:val="00D261E8"/>
    <w:rsid w:val="00D30B4D"/>
    <w:rsid w:val="00D40A0B"/>
    <w:rsid w:val="00D43C46"/>
    <w:rsid w:val="00D4514E"/>
    <w:rsid w:val="00D51531"/>
    <w:rsid w:val="00D54199"/>
    <w:rsid w:val="00D54BC0"/>
    <w:rsid w:val="00D573FD"/>
    <w:rsid w:val="00D57614"/>
    <w:rsid w:val="00D7528D"/>
    <w:rsid w:val="00D83F0B"/>
    <w:rsid w:val="00D90B65"/>
    <w:rsid w:val="00D92EBB"/>
    <w:rsid w:val="00DA5467"/>
    <w:rsid w:val="00DC659A"/>
    <w:rsid w:val="00DD45E2"/>
    <w:rsid w:val="00DE2D3B"/>
    <w:rsid w:val="00DE3198"/>
    <w:rsid w:val="00DF2A79"/>
    <w:rsid w:val="00DF6765"/>
    <w:rsid w:val="00E2064E"/>
    <w:rsid w:val="00E2460F"/>
    <w:rsid w:val="00E37042"/>
    <w:rsid w:val="00E61D28"/>
    <w:rsid w:val="00E70EB9"/>
    <w:rsid w:val="00E77C06"/>
    <w:rsid w:val="00E77FA9"/>
    <w:rsid w:val="00E92CE9"/>
    <w:rsid w:val="00E92F2E"/>
    <w:rsid w:val="00E932F5"/>
    <w:rsid w:val="00EA2B17"/>
    <w:rsid w:val="00EB4B86"/>
    <w:rsid w:val="00EB7314"/>
    <w:rsid w:val="00EC0D62"/>
    <w:rsid w:val="00EC1CED"/>
    <w:rsid w:val="00EC2CC5"/>
    <w:rsid w:val="00EC6B15"/>
    <w:rsid w:val="00EC78A5"/>
    <w:rsid w:val="00ED077F"/>
    <w:rsid w:val="00EF6B57"/>
    <w:rsid w:val="00F058FA"/>
    <w:rsid w:val="00F17C11"/>
    <w:rsid w:val="00F22D6F"/>
    <w:rsid w:val="00F22E88"/>
    <w:rsid w:val="00F261A2"/>
    <w:rsid w:val="00F36EFE"/>
    <w:rsid w:val="00F40D4B"/>
    <w:rsid w:val="00F416A6"/>
    <w:rsid w:val="00F468FC"/>
    <w:rsid w:val="00F615A8"/>
    <w:rsid w:val="00F64507"/>
    <w:rsid w:val="00F67635"/>
    <w:rsid w:val="00F7155D"/>
    <w:rsid w:val="00F715BF"/>
    <w:rsid w:val="00F92DC2"/>
    <w:rsid w:val="00FA50A8"/>
    <w:rsid w:val="00FB5713"/>
    <w:rsid w:val="00FC1267"/>
    <w:rsid w:val="00FC1B4C"/>
    <w:rsid w:val="00FD1CE6"/>
    <w:rsid w:val="00FE2F85"/>
    <w:rsid w:val="00FE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6E226-DC0D-4953-8BA6-8DD9EDAE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74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061B007EAF889E2941FC06A595DE8DEE87B27358AADC90E33C0DA234679EF3A112447EA5F19BC88C1C0890E6BpFP" TargetMode="External"/><Relationship Id="rId13" Type="http://schemas.openxmlformats.org/officeDocument/2006/relationships/hyperlink" Target="consultantplus://offline/ref=0C5061B007EAF889E2941FC06A595DE8DEED7D21348AADC90E33C0DA234679EF3A112447EA5F19BC88C1C0890E6BpFP" TargetMode="External"/><Relationship Id="rId18" Type="http://schemas.openxmlformats.org/officeDocument/2006/relationships/hyperlink" Target="consultantplus://offline/ref=0C5061B007EAF889E2941FC06A595DE8DEED7D27388BADC90E33C0DA234679EF3A112447EA5F19BC88C1C0890E6BpF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C5061B007EAF889E2941FC06A595DE8DEED7D243587ADC90E33C0DA234679EF28117C4BEA5B07BC88D496D848EA1976ABA235FCF7BB094768p5P" TargetMode="External"/><Relationship Id="rId12" Type="http://schemas.openxmlformats.org/officeDocument/2006/relationships/hyperlink" Target="consultantplus://offline/ref=0C5061B007EAF889E2941FC06A595DE8DEEE7D2D3D87ADC90E33C0DA234679EF3A112447EA5F19BC88C1C0890E6BpFP" TargetMode="External"/><Relationship Id="rId17" Type="http://schemas.openxmlformats.org/officeDocument/2006/relationships/hyperlink" Target="consultantplus://offline/ref=0C5061B007EAF889E2941FC06A595DE8DEEE7F243C83ADC90E33C0DA234679EF3A112447EA5F19BC88C1C0890E6BpFP" TargetMode="External"/><Relationship Id="rId2" Type="http://schemas.openxmlformats.org/officeDocument/2006/relationships/settings" Target="settings.xml"/><Relationship Id="rId16" Type="http://schemas.openxmlformats.org/officeDocument/2006/relationships/hyperlink" Target="consultantplus://offline/ref=0C5061B007EAF889E2941FC06A595DE8DEEE7F243C83ADC90E33C0DA234679EF3A112447EA5F19BC88C1C0890E6BpFP" TargetMode="External"/><Relationship Id="rId20" Type="http://schemas.openxmlformats.org/officeDocument/2006/relationships/hyperlink" Target="consultantplus://offline/ref=0C5061B007EAF889E2941FC06A595DE8DEEE7F243C83ADC90E33C0DA234679EF3A112447EA5F19BC88C1C0890E6BpFP" TargetMode="External"/><Relationship Id="rId1" Type="http://schemas.openxmlformats.org/officeDocument/2006/relationships/styles" Target="styles.xml"/><Relationship Id="rId6" Type="http://schemas.openxmlformats.org/officeDocument/2006/relationships/hyperlink" Target="consultantplus://offline/ref=0C5061B007EAF889E2941FC06A595DE8DEE8722D3882ADC90E33C0DA234679EF3A112447EA5F19BC88C1C0890E6BpFP" TargetMode="External"/><Relationship Id="rId11" Type="http://schemas.openxmlformats.org/officeDocument/2006/relationships/hyperlink" Target="consultantplus://offline/ref=0C5061B007EAF889E2941FC06A595DE8DEE87B27358AADC90E33C0DA234679EF28117C4BEA5B03BA8CD496D848EA1976ABA235FCF7BB094768p5P" TargetMode="External"/><Relationship Id="rId5" Type="http://schemas.openxmlformats.org/officeDocument/2006/relationships/hyperlink" Target="consultantplus://offline/ref=0C5061B007EAF889E2941FC06A595DE8DEE8722D3882ADC90E33C0DA234679EF3A112447EA5F19BC88C1C0890E6BpFP" TargetMode="External"/><Relationship Id="rId15" Type="http://schemas.openxmlformats.org/officeDocument/2006/relationships/hyperlink" Target="consultantplus://offline/ref=0C5061B007EAF889E2941FC06A595DE8DEE87B243B87ADC90E33C0DA234679EF3A112447EA5F19BC88C1C0890E6BpFP" TargetMode="External"/><Relationship Id="rId10" Type="http://schemas.openxmlformats.org/officeDocument/2006/relationships/hyperlink" Target="consultantplus://offline/ref=0C5061B007EAF889E2941FC06A595DE8DEE87B27358AADC90E33C0DA234679EF28117C4BEA5B03BD8CD496D848EA1976ABA235FCF7BB094768p5P" TargetMode="External"/><Relationship Id="rId19" Type="http://schemas.openxmlformats.org/officeDocument/2006/relationships/hyperlink" Target="consultantplus://offline/ref=0C5061B007EAF889E2941FC06A595DE8DEE87B243B87ADC90E33C0DA234679EF3A112447EA5F19BC88C1C0890E6BpF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5061B007EAF889E2941FC06A595DE8DEE87B27358AADC90E33C0DA234679EF28117C4BEA5B04B88CD496D848EA1976ABA235FCF7BB094768p5P" TargetMode="External"/><Relationship Id="rId14" Type="http://schemas.openxmlformats.org/officeDocument/2006/relationships/hyperlink" Target="consultantplus://offline/ref=0C5061B007EAF889E2941FC06A595DE8DEE87B243B87ADC90E33C0DA234679EF3A112447EA5F19BC88C1C0890E6BpF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2020-06-04T15:41:00Z</dcterms:created>
  <dcterms:modified xsi:type="dcterms:W3CDTF">2020-06-04T15:42:00Z</dcterms:modified>
</cp:coreProperties>
</file>